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7E" w:rsidRPr="00DC7CCD" w:rsidRDefault="00D639C4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C7CCD">
        <w:rPr>
          <w:rFonts w:ascii="Arial" w:hAnsi="Arial" w:cs="Arial"/>
          <w:b/>
          <w:u w:val="single"/>
        </w:rPr>
        <w:t>ASUNTO: modificaciones declaraciones de importación a partir del 11 de noviembre de 2019.</w:t>
      </w:r>
    </w:p>
    <w:p w:rsidR="00D639C4" w:rsidRPr="00DC7CCD" w:rsidRDefault="00D639C4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433EE7" w:rsidRPr="00433EE7" w:rsidRDefault="00433EE7" w:rsidP="00433E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33EE7">
        <w:rPr>
          <w:rFonts w:ascii="Arial" w:hAnsi="Arial" w:cs="Arial"/>
          <w:b/>
          <w:u w:val="single"/>
        </w:rPr>
        <w:t xml:space="preserve">Garantizar deuda potencial por un tercero representante directo.  </w:t>
      </w:r>
    </w:p>
    <w:p w:rsidR="00433EE7" w:rsidRPr="003C37C5" w:rsidRDefault="00433EE7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1AA5" w:rsidRPr="003C37C5" w:rsidRDefault="003D76A7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Con la siguiente modificación se pretende que la deuda potencial de un régimen especial pueda ser garantizada por un tercero representante directo</w:t>
      </w:r>
      <w:r w:rsidR="009A0238" w:rsidRPr="003C37C5">
        <w:rPr>
          <w:rFonts w:ascii="Arial" w:hAnsi="Arial" w:cs="Arial"/>
          <w:color w:val="000000"/>
        </w:rPr>
        <w:t>, siempre que el texto de la garantía lo contemple.</w:t>
      </w:r>
    </w:p>
    <w:p w:rsidR="007D42EE" w:rsidRPr="003C37C5" w:rsidRDefault="007D42EE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D42EE" w:rsidRPr="003C37C5" w:rsidRDefault="007D42EE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 xml:space="preserve">No se aplicarán reducciones a la garantía potencial (utilización del código 9015 en la casilla 44) cuando el titular sea un representante directo. </w:t>
      </w:r>
    </w:p>
    <w:p w:rsidR="003D76A7" w:rsidRPr="003C37C5" w:rsidRDefault="003D76A7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A0238" w:rsidRPr="003C37C5" w:rsidRDefault="009A0238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Las validaciones</w:t>
      </w:r>
      <w:r w:rsidR="007D42EE" w:rsidRPr="003C37C5">
        <w:rPr>
          <w:rFonts w:ascii="Arial" w:hAnsi="Arial" w:cs="Arial"/>
          <w:color w:val="000000"/>
        </w:rPr>
        <w:t xml:space="preserve"> que se realizan para admitir la declaración </w:t>
      </w:r>
      <w:r w:rsidRPr="003C37C5">
        <w:rPr>
          <w:rFonts w:ascii="Arial" w:hAnsi="Arial" w:cs="Arial"/>
          <w:color w:val="000000"/>
        </w:rPr>
        <w:t xml:space="preserve">dependen de que la </w:t>
      </w:r>
      <w:bookmarkStart w:id="0" w:name="_GoBack"/>
      <w:bookmarkEnd w:id="0"/>
      <w:r w:rsidRPr="003C37C5">
        <w:rPr>
          <w:rFonts w:ascii="Arial" w:hAnsi="Arial" w:cs="Arial"/>
          <w:color w:val="000000"/>
        </w:rPr>
        <w:t>autorización del régimen especial sea normal o simplificada en DUA.</w:t>
      </w:r>
    </w:p>
    <w:p w:rsidR="003D76A7" w:rsidRPr="003C37C5" w:rsidRDefault="003D76A7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A0238" w:rsidRPr="003C37C5" w:rsidRDefault="007D42EE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En el caso de autorización normal:</w:t>
      </w:r>
    </w:p>
    <w:p w:rsidR="009B1AA5" w:rsidRPr="003C37C5" w:rsidRDefault="00BF5E77" w:rsidP="001E42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Régimen 51 + autorización código C601</w:t>
      </w:r>
      <w:r w:rsidR="000826FD">
        <w:rPr>
          <w:rFonts w:ascii="Arial" w:hAnsi="Arial" w:cs="Arial"/>
          <w:color w:val="000000"/>
        </w:rPr>
        <w:t xml:space="preserve"> </w:t>
      </w:r>
    </w:p>
    <w:p w:rsidR="00BF5E77" w:rsidRPr="003C37C5" w:rsidRDefault="00BF5E77" w:rsidP="001E42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Régimen 53 + autorización código C516</w:t>
      </w:r>
    </w:p>
    <w:p w:rsidR="00BF5E77" w:rsidRPr="003C37C5" w:rsidRDefault="00BF5E77" w:rsidP="001E42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Régimen 48 + autorización código C019</w:t>
      </w:r>
    </w:p>
    <w:p w:rsidR="007D4C28" w:rsidRPr="003C37C5" w:rsidRDefault="00BF5E77" w:rsidP="001E42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Régimen 44 (destino final</w:t>
      </w:r>
      <w:r w:rsidR="007D4C28" w:rsidRPr="003C37C5">
        <w:rPr>
          <w:rFonts w:ascii="Arial" w:hAnsi="Arial" w:cs="Arial"/>
          <w:color w:val="000000"/>
        </w:rPr>
        <w:t xml:space="preserve"> =</w:t>
      </w:r>
      <w:r w:rsidRPr="003C37C5">
        <w:rPr>
          <w:rFonts w:ascii="Arial" w:hAnsi="Arial" w:cs="Arial"/>
          <w:color w:val="000000"/>
        </w:rPr>
        <w:t xml:space="preserve"> régimen 07,40 y 42 + casilla 36</w:t>
      </w:r>
      <w:r w:rsidR="007D4C28" w:rsidRPr="003C37C5">
        <w:rPr>
          <w:rFonts w:ascii="Arial" w:hAnsi="Arial" w:cs="Arial"/>
          <w:color w:val="000000"/>
        </w:rPr>
        <w:t xml:space="preserve"> </w:t>
      </w:r>
      <w:r w:rsidRPr="003C37C5">
        <w:rPr>
          <w:rFonts w:ascii="Arial" w:hAnsi="Arial" w:cs="Arial"/>
          <w:color w:val="000000"/>
        </w:rPr>
        <w:t xml:space="preserve">reducciones </w:t>
      </w:r>
      <w:r w:rsidR="007D4C28" w:rsidRPr="003C37C5">
        <w:rPr>
          <w:rFonts w:ascii="Arial" w:hAnsi="Arial" w:cs="Arial"/>
          <w:color w:val="000000"/>
        </w:rPr>
        <w:t>de destino final) + autorización código N990 o C990 que empiecen por ESDE</w:t>
      </w:r>
    </w:p>
    <w:p w:rsidR="007D4C28" w:rsidRPr="003C37C5" w:rsidRDefault="007D4C28" w:rsidP="001E421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Régimen 44 (destino final) + autorización código D019 que empiece por ESDE</w:t>
      </w:r>
    </w:p>
    <w:p w:rsidR="007D4C28" w:rsidRPr="003C37C5" w:rsidRDefault="007D4C28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En estos casos el GRN de la garantía tiene que ser el previsto en la autorización correspondiente.</w:t>
      </w:r>
    </w:p>
    <w:p w:rsidR="007D4C28" w:rsidRPr="003C37C5" w:rsidRDefault="007D4C28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D4C28" w:rsidRPr="003C37C5" w:rsidRDefault="007D4C28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En el caso de autorización simplificada en DUA (no permitido en DUAS “Z”)</w:t>
      </w:r>
    </w:p>
    <w:p w:rsidR="007D4C28" w:rsidRPr="003C37C5" w:rsidRDefault="007D4C28" w:rsidP="001E421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Régimen 51 y 53 + código de autorización 1020</w:t>
      </w:r>
    </w:p>
    <w:p w:rsidR="007D4C28" w:rsidRPr="003C37C5" w:rsidRDefault="007D4C28" w:rsidP="001E421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Régimen 44 (destino final como se indica para la autorización normal) + autorización código N990, C990 o D019 que empiecen por ESDS</w:t>
      </w:r>
    </w:p>
    <w:p w:rsidR="007D4C28" w:rsidRPr="003C37C5" w:rsidRDefault="007D4C28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En estos casos:</w:t>
      </w:r>
    </w:p>
    <w:p w:rsidR="007D4C28" w:rsidRPr="003C37C5" w:rsidRDefault="007D4C28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 xml:space="preserve">  </w:t>
      </w: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2977"/>
        <w:gridCol w:w="4677"/>
      </w:tblGrid>
      <w:tr w:rsidR="00573DBB" w:rsidRPr="003C37C5" w:rsidTr="00573DBB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BB" w:rsidRPr="003C37C5" w:rsidRDefault="00573DBB" w:rsidP="001E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C37C5">
              <w:rPr>
                <w:rFonts w:ascii="Arial" w:hAnsi="Arial" w:cs="Arial"/>
                <w:color w:val="000000"/>
              </w:rPr>
              <w:t>Carácter de representación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BB" w:rsidRPr="003C37C5" w:rsidRDefault="00573DBB" w:rsidP="001E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C37C5">
              <w:rPr>
                <w:rFonts w:ascii="Arial" w:hAnsi="Arial" w:cs="Arial"/>
                <w:color w:val="000000"/>
              </w:rPr>
              <w:t>Titular de la garantía</w:t>
            </w:r>
          </w:p>
        </w:tc>
      </w:tr>
      <w:tr w:rsidR="00573DBB" w:rsidRPr="003C37C5" w:rsidTr="00573DBB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BB" w:rsidRPr="003C37C5" w:rsidRDefault="00573DBB" w:rsidP="001E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C37C5">
              <w:rPr>
                <w:rFonts w:ascii="Arial" w:hAnsi="Arial" w:cs="Arial"/>
                <w:color w:val="000000"/>
              </w:rPr>
              <w:t>1, 3, 4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BB" w:rsidRPr="003C37C5" w:rsidRDefault="00573DBB" w:rsidP="001E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C37C5">
              <w:rPr>
                <w:rFonts w:ascii="Arial" w:hAnsi="Arial" w:cs="Arial"/>
                <w:color w:val="000000"/>
              </w:rPr>
              <w:t>El importador</w:t>
            </w:r>
          </w:p>
        </w:tc>
      </w:tr>
      <w:tr w:rsidR="00573DBB" w:rsidRPr="003C37C5" w:rsidTr="00573DBB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BB" w:rsidRPr="003C37C5" w:rsidRDefault="00573DBB" w:rsidP="001E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C37C5">
              <w:rPr>
                <w:rFonts w:ascii="Arial" w:hAnsi="Arial" w:cs="Arial"/>
                <w:color w:val="000000"/>
              </w:rPr>
              <w:t>2, 5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DBB" w:rsidRPr="003C37C5" w:rsidRDefault="00573DBB" w:rsidP="001E4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C37C5">
              <w:rPr>
                <w:rFonts w:ascii="Arial" w:hAnsi="Arial" w:cs="Arial"/>
                <w:color w:val="000000"/>
              </w:rPr>
              <w:t>El importador o el representante</w:t>
            </w:r>
          </w:p>
        </w:tc>
      </w:tr>
    </w:tbl>
    <w:p w:rsidR="00573DBB" w:rsidRDefault="00573DBB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A0467" w:rsidRPr="003C37C5" w:rsidRDefault="000A0467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C37C5">
        <w:rPr>
          <w:rFonts w:ascii="Arial" w:hAnsi="Arial" w:cs="Arial"/>
          <w:b/>
          <w:color w:val="000000"/>
        </w:rPr>
        <w:t>Nota aclaratoria:</w:t>
      </w:r>
    </w:p>
    <w:p w:rsidR="000A0467" w:rsidRPr="003C37C5" w:rsidRDefault="000A0467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A0467" w:rsidRPr="003C37C5" w:rsidRDefault="000A0467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 xml:space="preserve">El </w:t>
      </w:r>
      <w:r w:rsidR="00051FB3">
        <w:rPr>
          <w:rFonts w:ascii="Arial" w:hAnsi="Arial" w:cs="Arial"/>
          <w:color w:val="000000"/>
        </w:rPr>
        <w:t xml:space="preserve">declarante tiene que coincidir con el titular de la autorización del régimen </w:t>
      </w:r>
      <w:r w:rsidRPr="003C37C5">
        <w:rPr>
          <w:rFonts w:ascii="Arial" w:hAnsi="Arial" w:cs="Arial"/>
          <w:color w:val="000000"/>
        </w:rPr>
        <w:t>especial</w:t>
      </w:r>
      <w:r w:rsidR="00051FB3">
        <w:rPr>
          <w:rFonts w:ascii="Arial" w:hAnsi="Arial" w:cs="Arial"/>
          <w:color w:val="000000"/>
        </w:rPr>
        <w:t>, excepto en el régimen 5111.</w:t>
      </w:r>
      <w:r w:rsidRPr="003C37C5">
        <w:rPr>
          <w:rFonts w:ascii="Arial" w:hAnsi="Arial" w:cs="Arial"/>
          <w:color w:val="000000"/>
        </w:rPr>
        <w:t xml:space="preserve"> En caso de autorizaciones simplificadas deberá ser siempre el importador. En caso de autorizaciones normales puede ser el representante indirecto siempre que cumpla con las condiciones para ello.</w:t>
      </w:r>
    </w:p>
    <w:p w:rsidR="000A0467" w:rsidRPr="003C37C5" w:rsidRDefault="000A0467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C37C5" w:rsidRPr="003C37C5" w:rsidRDefault="003C37C5" w:rsidP="001E421C">
      <w:pPr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Por ejemplo, en el caso de destino final:</w:t>
      </w:r>
    </w:p>
    <w:p w:rsidR="003C37C5" w:rsidRPr="003C37C5" w:rsidRDefault="003C37C5" w:rsidP="001E421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a)</w:t>
      </w:r>
      <w:r w:rsidRPr="003C37C5">
        <w:rPr>
          <w:rFonts w:ascii="Arial" w:hAnsi="Arial" w:cs="Arial"/>
          <w:color w:val="000000"/>
        </w:rPr>
        <w:tab/>
        <w:t xml:space="preserve">Coherencia de titularidad de la autorización de destino final en el supuesto de autorizaciones normales. </w:t>
      </w:r>
    </w:p>
    <w:p w:rsidR="003C37C5" w:rsidRPr="003C37C5" w:rsidRDefault="003C37C5" w:rsidP="001E42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3C37C5" w:rsidRPr="003C37C5" w:rsidRDefault="003C37C5" w:rsidP="001E42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Cuando se declare un N990,</w:t>
      </w:r>
      <w:r w:rsidR="00433EE7">
        <w:rPr>
          <w:rFonts w:ascii="Arial" w:hAnsi="Arial" w:cs="Arial"/>
          <w:color w:val="000000"/>
        </w:rPr>
        <w:t xml:space="preserve"> </w:t>
      </w:r>
      <w:r w:rsidRPr="003C37C5">
        <w:rPr>
          <w:rFonts w:ascii="Arial" w:hAnsi="Arial" w:cs="Arial"/>
          <w:color w:val="000000"/>
        </w:rPr>
        <w:t>C</w:t>
      </w:r>
      <w:r w:rsidR="00433EE7" w:rsidRPr="003C37C5">
        <w:rPr>
          <w:rFonts w:ascii="Arial" w:hAnsi="Arial" w:cs="Arial"/>
          <w:color w:val="000000"/>
        </w:rPr>
        <w:t>990</w:t>
      </w:r>
      <w:r w:rsidR="00433EE7">
        <w:rPr>
          <w:rFonts w:ascii="Arial" w:hAnsi="Arial" w:cs="Arial"/>
          <w:color w:val="000000"/>
        </w:rPr>
        <w:t>, D</w:t>
      </w:r>
      <w:r w:rsidRPr="003C37C5">
        <w:rPr>
          <w:rFonts w:ascii="Arial" w:hAnsi="Arial" w:cs="Arial"/>
          <w:color w:val="000000"/>
        </w:rPr>
        <w:t xml:space="preserve">019 en la Cas. </w:t>
      </w:r>
      <w:r w:rsidR="00433EE7" w:rsidRPr="003C37C5">
        <w:rPr>
          <w:rFonts w:ascii="Arial" w:hAnsi="Arial" w:cs="Arial"/>
          <w:color w:val="000000"/>
        </w:rPr>
        <w:t>44 y</w:t>
      </w:r>
      <w:r w:rsidRPr="003C37C5">
        <w:rPr>
          <w:rFonts w:ascii="Arial" w:hAnsi="Arial" w:cs="Arial"/>
          <w:color w:val="000000"/>
        </w:rPr>
        <w:t xml:space="preserve"> una autorización normal [empiece por ESDE...] se comprueba la titularidad de esta autorización con el operador correspondiente:</w:t>
      </w:r>
    </w:p>
    <w:p w:rsidR="003C37C5" w:rsidRPr="003C37C5" w:rsidRDefault="003C37C5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C37C5" w:rsidRPr="003C37C5" w:rsidRDefault="003C37C5" w:rsidP="001E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 xml:space="preserve">Carácter de representación  </w:t>
      </w:r>
      <w:r w:rsidR="001E421C">
        <w:rPr>
          <w:rFonts w:ascii="Arial" w:hAnsi="Arial" w:cs="Arial"/>
          <w:color w:val="000000"/>
        </w:rPr>
        <w:t xml:space="preserve">   </w:t>
      </w:r>
      <w:r w:rsidRPr="003C37C5">
        <w:rPr>
          <w:rFonts w:ascii="Arial" w:hAnsi="Arial" w:cs="Arial"/>
          <w:color w:val="000000"/>
        </w:rPr>
        <w:t xml:space="preserve">Titular de la autorización ESDE.. ha de ser </w:t>
      </w:r>
    </w:p>
    <w:p w:rsidR="003C37C5" w:rsidRPr="003C37C5" w:rsidRDefault="003C37C5" w:rsidP="001E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------------------------------------</w:t>
      </w:r>
      <w:r w:rsidRPr="003C37C5">
        <w:rPr>
          <w:rFonts w:ascii="Arial" w:hAnsi="Arial" w:cs="Arial"/>
          <w:color w:val="000000"/>
        </w:rPr>
        <w:tab/>
        <w:t xml:space="preserve">  ----------------------------------------</w:t>
      </w:r>
      <w:r w:rsidR="001E421C">
        <w:rPr>
          <w:rFonts w:ascii="Arial" w:hAnsi="Arial" w:cs="Arial"/>
          <w:color w:val="000000"/>
        </w:rPr>
        <w:t>-------------------------</w:t>
      </w:r>
    </w:p>
    <w:p w:rsidR="003C37C5" w:rsidRPr="003C37C5" w:rsidRDefault="003C37C5" w:rsidP="001E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1,2,5,</w:t>
      </w:r>
      <w:r w:rsidRPr="003C37C5">
        <w:rPr>
          <w:rFonts w:ascii="Arial" w:hAnsi="Arial" w:cs="Arial"/>
          <w:color w:val="000000"/>
        </w:rPr>
        <w:tab/>
      </w:r>
      <w:r w:rsidRPr="003C37C5">
        <w:rPr>
          <w:rFonts w:ascii="Arial" w:hAnsi="Arial" w:cs="Arial"/>
          <w:color w:val="000000"/>
        </w:rPr>
        <w:tab/>
      </w:r>
      <w:r w:rsidRPr="003C37C5">
        <w:rPr>
          <w:rFonts w:ascii="Arial" w:hAnsi="Arial" w:cs="Arial"/>
          <w:color w:val="000000"/>
        </w:rPr>
        <w:tab/>
      </w:r>
      <w:r w:rsidRPr="003C37C5">
        <w:rPr>
          <w:rFonts w:ascii="Arial" w:hAnsi="Arial" w:cs="Arial"/>
          <w:color w:val="000000"/>
        </w:rPr>
        <w:tab/>
        <w:t xml:space="preserve">   Importador Cas. 8</w:t>
      </w:r>
    </w:p>
    <w:p w:rsidR="003C37C5" w:rsidRPr="003C37C5" w:rsidRDefault="003C37C5" w:rsidP="001E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3,4</w:t>
      </w:r>
      <w:r w:rsidRPr="003C37C5">
        <w:rPr>
          <w:rFonts w:ascii="Arial" w:hAnsi="Arial" w:cs="Arial"/>
          <w:color w:val="000000"/>
        </w:rPr>
        <w:tab/>
      </w:r>
      <w:r w:rsidRPr="003C37C5">
        <w:rPr>
          <w:rFonts w:ascii="Arial" w:hAnsi="Arial" w:cs="Arial"/>
          <w:color w:val="000000"/>
        </w:rPr>
        <w:tab/>
      </w:r>
      <w:r w:rsidRPr="003C37C5">
        <w:rPr>
          <w:rFonts w:ascii="Arial" w:hAnsi="Arial" w:cs="Arial"/>
          <w:color w:val="000000"/>
        </w:rPr>
        <w:tab/>
      </w:r>
      <w:r w:rsidRPr="003C37C5">
        <w:rPr>
          <w:rFonts w:ascii="Arial" w:hAnsi="Arial" w:cs="Arial"/>
          <w:color w:val="000000"/>
        </w:rPr>
        <w:tab/>
        <w:t xml:space="preserve">   Declarante / representante Cas. 14</w:t>
      </w:r>
    </w:p>
    <w:p w:rsidR="003C37C5" w:rsidRPr="003C37C5" w:rsidRDefault="003C37C5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B1AA5" w:rsidRDefault="003C37C5" w:rsidP="001E42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3C37C5">
        <w:rPr>
          <w:rFonts w:ascii="Arial" w:hAnsi="Arial" w:cs="Arial"/>
          <w:color w:val="000000"/>
        </w:rPr>
        <w:t>Error posible =&gt; 4232- Para los códigos N990, C990, D019 Cas. 44, el titular de la autorización debe ser el importador Cas. 8 [si carácter representación, Cas. 14, es 1,2,5] o el Declarante, Cas. 14, si es 3,4 el carácter de representación.</w:t>
      </w:r>
    </w:p>
    <w:p w:rsidR="00D2117C" w:rsidRDefault="00D2117C" w:rsidP="001E42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D2117C" w:rsidRDefault="00D2117C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16"/>
          <w:szCs w:val="16"/>
        </w:rPr>
      </w:pPr>
    </w:p>
    <w:p w:rsidR="00433EE7" w:rsidRPr="00433EE7" w:rsidRDefault="00433EE7" w:rsidP="001E42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33EE7" w:rsidRDefault="00433EE7" w:rsidP="00433EE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547F27">
        <w:rPr>
          <w:rFonts w:ascii="Arial" w:hAnsi="Arial" w:cs="Arial"/>
          <w:b/>
          <w:color w:val="000000"/>
          <w:u w:val="single"/>
        </w:rPr>
        <w:t>Autorización EIR en Customs Decisión Vs. domiciliación</w:t>
      </w:r>
      <w:r w:rsidR="00547F27" w:rsidRPr="00547F27">
        <w:rPr>
          <w:rFonts w:ascii="Arial" w:hAnsi="Arial" w:cs="Arial"/>
          <w:b/>
          <w:color w:val="000000"/>
          <w:u w:val="single"/>
        </w:rPr>
        <w:t xml:space="preserve"> en dúas de importacion y documento IDA de vinculación a depósito. </w:t>
      </w:r>
      <w:r w:rsidRPr="00547F27">
        <w:rPr>
          <w:rFonts w:ascii="Arial" w:hAnsi="Arial" w:cs="Arial"/>
          <w:b/>
          <w:color w:val="000000"/>
          <w:u w:val="single"/>
        </w:rPr>
        <w:t xml:space="preserve"> </w:t>
      </w:r>
    </w:p>
    <w:p w:rsidR="00547F27" w:rsidRPr="00547F27" w:rsidRDefault="00547F27" w:rsidP="00547F2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D52B80" w:rsidRDefault="00D52B80" w:rsidP="00D52B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  <w:color w:val="000000"/>
        </w:rPr>
        <w:t>El documento C514</w:t>
      </w:r>
      <w:r>
        <w:rPr>
          <w:rFonts w:ascii="Arial" w:hAnsi="Arial" w:cs="Arial"/>
          <w:color w:val="2F2F2F"/>
        </w:rPr>
        <w:t xml:space="preserve"> </w:t>
      </w:r>
      <w:r>
        <w:rPr>
          <w:rFonts w:ascii="Arial" w:hAnsi="Arial" w:cs="Arial"/>
          <w:b/>
          <w:bCs/>
          <w:color w:val="2F2F2F"/>
        </w:rPr>
        <w:t>será obligatorio declararlo en la Cas. 44</w:t>
      </w:r>
      <w:r>
        <w:rPr>
          <w:rFonts w:ascii="Arial" w:hAnsi="Arial" w:cs="Arial"/>
          <w:color w:val="2F2F2F"/>
        </w:rPr>
        <w:t xml:space="preserve"> para admitir </w:t>
      </w:r>
      <w:proofErr w:type="spellStart"/>
      <w:r>
        <w:rPr>
          <w:rFonts w:ascii="Arial" w:hAnsi="Arial" w:cs="Arial"/>
          <w:color w:val="2F2F2F"/>
        </w:rPr>
        <w:t>DUAs</w:t>
      </w:r>
      <w:proofErr w:type="spellEnd"/>
      <w:r>
        <w:rPr>
          <w:rFonts w:ascii="Arial" w:hAnsi="Arial" w:cs="Arial"/>
          <w:color w:val="2F2F2F"/>
        </w:rPr>
        <w:t xml:space="preserve"> tipo "Z" de importación y documentos IDA. </w:t>
      </w:r>
    </w:p>
    <w:p w:rsidR="00D52B80" w:rsidRDefault="00D52B80" w:rsidP="00D52B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F2F2F"/>
        </w:rPr>
      </w:pPr>
    </w:p>
    <w:p w:rsidR="00D52B80" w:rsidRDefault="00D52B80" w:rsidP="00D52B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C</w:t>
      </w:r>
      <w:r>
        <w:rPr>
          <w:rFonts w:ascii="Arial" w:hAnsi="Arial" w:cs="Arial"/>
          <w:color w:val="2F2F2F"/>
        </w:rPr>
        <w:t>514:</w:t>
      </w:r>
      <w:r>
        <w:rPr>
          <w:rFonts w:ascii="Arial" w:hAnsi="Arial" w:cs="Arial"/>
          <w:color w:val="2F2F2F"/>
        </w:rPr>
        <w:t xml:space="preserve"> </w:t>
      </w:r>
      <w:r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2F2F2F"/>
        </w:rPr>
        <w:t xml:space="preserve">EIR - Autorización para hacer una declaración en aduana a través de la inscripción de los datos en los registros del declarante, incluso en relación con el régimen de exportación (columna 7c del Anexo A del Reglamento Delegado (UE) 2015/2446)]. </w:t>
      </w:r>
    </w:p>
    <w:p w:rsidR="00433EE7" w:rsidRDefault="00547F27" w:rsidP="00433EE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A1A1A"/>
          <w:lang w:eastAsia="es-ES"/>
        </w:rPr>
      </w:pPr>
      <w:r>
        <w:rPr>
          <w:rFonts w:ascii="Arial" w:eastAsia="Times New Roman" w:hAnsi="Arial" w:cs="Arial"/>
          <w:color w:val="1A1A1A"/>
          <w:lang w:eastAsia="es-ES"/>
        </w:rPr>
        <w:t xml:space="preserve">. </w:t>
      </w:r>
    </w:p>
    <w:p w:rsidR="00547F27" w:rsidRDefault="00547F27" w:rsidP="00547F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1A1A1A"/>
          <w:lang w:eastAsia="es-ES"/>
        </w:rPr>
      </w:pPr>
      <w:r>
        <w:rPr>
          <w:rFonts w:ascii="Arial" w:eastAsia="Times New Roman" w:hAnsi="Arial" w:cs="Arial"/>
          <w:color w:val="1A1A1A"/>
          <w:lang w:eastAsia="es-ES"/>
        </w:rPr>
        <w:t xml:space="preserve">El titular de la autorización se ha de corresponder con el operador de la declaración aduanera según lo siguiente: </w:t>
      </w:r>
    </w:p>
    <w:p w:rsidR="00547F27" w:rsidRPr="00547F27" w:rsidRDefault="00547F27" w:rsidP="00547F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A1A1A"/>
          <w:lang w:eastAsia="es-ES"/>
        </w:rPr>
      </w:pPr>
    </w:p>
    <w:p w:rsidR="00547F27" w:rsidRDefault="00547F27" w:rsidP="00433EE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A1A1A"/>
          <w:lang w:eastAsia="es-ES"/>
        </w:rPr>
      </w:pPr>
    </w:p>
    <w:p w:rsidR="00547F27" w:rsidRPr="00547F27" w:rsidRDefault="00547F27" w:rsidP="00547F2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547F27">
        <w:rPr>
          <w:rFonts w:ascii="Arial" w:hAnsi="Arial" w:cs="Arial"/>
        </w:rPr>
        <w:t xml:space="preserve">1.- Dúa de importacion.  </w:t>
      </w:r>
    </w:p>
    <w:p w:rsidR="00547F27" w:rsidRPr="00547F27" w:rsidRDefault="00547F27" w:rsidP="00547F2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</w:p>
    <w:tbl>
      <w:tblPr>
        <w:tblW w:w="0" w:type="auto"/>
        <w:tblInd w:w="1461" w:type="dxa"/>
        <w:tblLayout w:type="fixed"/>
        <w:tblLook w:val="00A0" w:firstRow="1" w:lastRow="0" w:firstColumn="1" w:lastColumn="0" w:noHBand="0" w:noVBand="0"/>
      </w:tblPr>
      <w:tblGrid>
        <w:gridCol w:w="3631"/>
        <w:gridCol w:w="3238"/>
      </w:tblGrid>
      <w:tr w:rsidR="00547F27" w:rsidRPr="00547F27" w:rsidTr="00547F2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7" w:rsidRPr="00547F27" w:rsidRDefault="0054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7F27">
              <w:rPr>
                <w:rFonts w:ascii="Arial" w:hAnsi="Arial" w:cs="Arial"/>
              </w:rPr>
              <w:t xml:space="preserve">Carácter de representación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7" w:rsidRPr="00547F27" w:rsidRDefault="0054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7F27">
              <w:rPr>
                <w:rFonts w:ascii="Arial" w:hAnsi="Arial" w:cs="Arial"/>
              </w:rPr>
              <w:t>Titular de la autorización EIR</w:t>
            </w:r>
          </w:p>
        </w:tc>
      </w:tr>
      <w:tr w:rsidR="00547F27" w:rsidRPr="00547F27" w:rsidTr="00547F2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7" w:rsidRPr="00547F27" w:rsidRDefault="0054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7F27">
              <w:rPr>
                <w:rFonts w:ascii="Arial" w:hAnsi="Arial" w:cs="Arial"/>
              </w:rPr>
              <w:t>2,5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7" w:rsidRPr="00547F27" w:rsidRDefault="0054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7F27">
              <w:rPr>
                <w:rFonts w:ascii="Arial" w:hAnsi="Arial" w:cs="Arial"/>
              </w:rPr>
              <w:t>Importador.</w:t>
            </w:r>
          </w:p>
        </w:tc>
      </w:tr>
      <w:tr w:rsidR="00547F27" w:rsidRPr="00547F27" w:rsidTr="00547F2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7" w:rsidRPr="00547F27" w:rsidRDefault="0054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7F27">
              <w:rPr>
                <w:rFonts w:ascii="Arial" w:hAnsi="Arial" w:cs="Arial"/>
              </w:rPr>
              <w:t>1,3,4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7" w:rsidRPr="00547F27" w:rsidRDefault="0054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7F27">
              <w:rPr>
                <w:rFonts w:ascii="Arial" w:hAnsi="Arial" w:cs="Arial"/>
              </w:rPr>
              <w:t>Declarante./representante</w:t>
            </w:r>
          </w:p>
        </w:tc>
      </w:tr>
    </w:tbl>
    <w:p w:rsidR="00547F27" w:rsidRPr="00547F27" w:rsidRDefault="00547F27" w:rsidP="00547F2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</w:p>
    <w:p w:rsidR="00547F27" w:rsidRPr="00547F27" w:rsidRDefault="00547F27" w:rsidP="00547F2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</w:p>
    <w:p w:rsidR="00547F27" w:rsidRPr="00547F27" w:rsidRDefault="00547F27" w:rsidP="00547F2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547F27">
        <w:rPr>
          <w:rFonts w:ascii="Arial" w:hAnsi="Arial" w:cs="Arial"/>
        </w:rPr>
        <w:t xml:space="preserve">  2.- IDA </w:t>
      </w:r>
    </w:p>
    <w:p w:rsidR="00547F27" w:rsidRPr="00547F27" w:rsidRDefault="00547F27" w:rsidP="00547F2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547F27">
        <w:rPr>
          <w:rFonts w:ascii="Arial" w:hAnsi="Arial" w:cs="Arial"/>
        </w:rPr>
        <w:tab/>
        <w:t xml:space="preserve">     </w:t>
      </w:r>
    </w:p>
    <w:tbl>
      <w:tblPr>
        <w:tblW w:w="0" w:type="auto"/>
        <w:tblInd w:w="1461" w:type="dxa"/>
        <w:tblLayout w:type="fixed"/>
        <w:tblLook w:val="00A0" w:firstRow="1" w:lastRow="0" w:firstColumn="1" w:lastColumn="0" w:noHBand="0" w:noVBand="0"/>
      </w:tblPr>
      <w:tblGrid>
        <w:gridCol w:w="3631"/>
        <w:gridCol w:w="3238"/>
      </w:tblGrid>
      <w:tr w:rsidR="00547F27" w:rsidRPr="00547F27" w:rsidTr="00547F2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7" w:rsidRPr="00547F27" w:rsidRDefault="0054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7F27">
              <w:rPr>
                <w:rFonts w:ascii="Arial" w:hAnsi="Arial" w:cs="Arial"/>
              </w:rPr>
              <w:t xml:space="preserve">Carácter de representación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7" w:rsidRPr="00547F27" w:rsidRDefault="0054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7F27">
              <w:rPr>
                <w:rFonts w:ascii="Arial" w:hAnsi="Arial" w:cs="Arial"/>
              </w:rPr>
              <w:t>Titular de la autorización EIR</w:t>
            </w:r>
          </w:p>
        </w:tc>
      </w:tr>
      <w:tr w:rsidR="00547F27" w:rsidRPr="00547F27" w:rsidTr="00547F2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7" w:rsidRPr="00547F27" w:rsidRDefault="0054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7F27">
              <w:rPr>
                <w:rFonts w:ascii="Arial" w:hAnsi="Arial" w:cs="Arial"/>
              </w:rPr>
              <w:t>2,5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7" w:rsidRPr="00547F27" w:rsidRDefault="0054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7F27">
              <w:rPr>
                <w:rFonts w:ascii="Arial" w:hAnsi="Arial" w:cs="Arial"/>
              </w:rPr>
              <w:t>Depositante</w:t>
            </w:r>
          </w:p>
        </w:tc>
      </w:tr>
      <w:tr w:rsidR="00547F27" w:rsidRPr="00547F27" w:rsidTr="00547F27"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7" w:rsidRPr="00547F27" w:rsidRDefault="00547F2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7F27">
              <w:rPr>
                <w:rFonts w:ascii="Arial" w:hAnsi="Arial" w:cs="Arial"/>
              </w:rPr>
              <w:t>1,3,4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F27" w:rsidRPr="00547F27" w:rsidRDefault="0054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47F27">
              <w:rPr>
                <w:rFonts w:ascii="Arial" w:hAnsi="Arial" w:cs="Arial"/>
              </w:rPr>
              <w:t xml:space="preserve">Declarante/Representante. </w:t>
            </w:r>
          </w:p>
        </w:tc>
      </w:tr>
    </w:tbl>
    <w:p w:rsidR="00547F27" w:rsidRPr="00547F27" w:rsidRDefault="00547F27" w:rsidP="00433EE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547F27" w:rsidRPr="00547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7F5"/>
    <w:multiLevelType w:val="hybridMultilevel"/>
    <w:tmpl w:val="06A41DB6"/>
    <w:lvl w:ilvl="0" w:tplc="7744E894">
      <w:numFmt w:val="bullet"/>
      <w:lvlText w:val="-"/>
      <w:lvlJc w:val="left"/>
      <w:pPr>
        <w:ind w:left="946" w:hanging="360"/>
      </w:pPr>
      <w:rPr>
        <w:rFonts w:ascii="Bookman Old Style" w:eastAsiaTheme="minorHAnsi" w:hAnsi="Bookman Old Style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51225240"/>
    <w:multiLevelType w:val="hybridMultilevel"/>
    <w:tmpl w:val="3930484E"/>
    <w:lvl w:ilvl="0" w:tplc="7744E89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53532"/>
    <w:multiLevelType w:val="hybridMultilevel"/>
    <w:tmpl w:val="076274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AA5"/>
    <w:rsid w:val="00051FB3"/>
    <w:rsid w:val="000826FD"/>
    <w:rsid w:val="000A0467"/>
    <w:rsid w:val="000D275F"/>
    <w:rsid w:val="001439EB"/>
    <w:rsid w:val="00167958"/>
    <w:rsid w:val="001E421C"/>
    <w:rsid w:val="003C37C5"/>
    <w:rsid w:val="003D76A7"/>
    <w:rsid w:val="00433EE7"/>
    <w:rsid w:val="00496F06"/>
    <w:rsid w:val="00547F27"/>
    <w:rsid w:val="00573DBB"/>
    <w:rsid w:val="007C5E3D"/>
    <w:rsid w:val="007D42EE"/>
    <w:rsid w:val="007D4C28"/>
    <w:rsid w:val="009A0238"/>
    <w:rsid w:val="009B1AA5"/>
    <w:rsid w:val="00BF5E77"/>
    <w:rsid w:val="00C75B7E"/>
    <w:rsid w:val="00D2117C"/>
    <w:rsid w:val="00D52B80"/>
    <w:rsid w:val="00D639C4"/>
    <w:rsid w:val="00DC7CCD"/>
    <w:rsid w:val="00E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E98CE-2A5F-4607-988A-5A28EDB3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E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B09681F8</Template>
  <TotalTime>4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Tributaria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AEAT</dc:creator>
  <cp:keywords/>
  <dc:description/>
  <cp:lastModifiedBy>AEAT</cp:lastModifiedBy>
  <cp:revision>5</cp:revision>
  <dcterms:created xsi:type="dcterms:W3CDTF">2019-10-18T11:26:00Z</dcterms:created>
  <dcterms:modified xsi:type="dcterms:W3CDTF">2019-10-21T08:39:00Z</dcterms:modified>
</cp:coreProperties>
</file>