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9B" w:rsidRDefault="00092EFF" w:rsidP="00A9329B">
      <w:pPr>
        <w:autoSpaceDE w:val="0"/>
        <w:autoSpaceDN w:val="0"/>
        <w:adjustRightInd w:val="0"/>
        <w:spacing w:after="60"/>
        <w:jc w:val="both"/>
        <w:rPr>
          <w:rFonts w:ascii="Arial Narrow" w:hAnsi="Arial Narrow" w:cs="Arial"/>
          <w:b/>
          <w:bCs/>
          <w:sz w:val="24"/>
          <w:szCs w:val="24"/>
          <w:lang w:eastAsia="es-ES"/>
        </w:rPr>
      </w:pPr>
      <w:r>
        <w:rPr>
          <w:rFonts w:ascii="Arial Narrow" w:hAnsi="Arial Narrow" w:cs="Arial"/>
          <w:b/>
          <w:bCs/>
          <w:sz w:val="24"/>
          <w:szCs w:val="24"/>
          <w:lang w:eastAsia="es-ES"/>
        </w:rPr>
        <w:t xml:space="preserve">                                </w:t>
      </w:r>
    </w:p>
    <w:p w:rsidR="00EF49C9" w:rsidRDefault="00B607E3" w:rsidP="00DF72AA">
      <w:pPr>
        <w:pBdr>
          <w:top w:val="single" w:sz="12" w:space="1" w:color="auto"/>
          <w:left w:val="single" w:sz="12" w:space="4" w:color="auto"/>
          <w:bottom w:val="single" w:sz="12" w:space="1" w:color="auto"/>
          <w:right w:val="single" w:sz="12" w:space="4" w:color="auto"/>
        </w:pBdr>
        <w:autoSpaceDE w:val="0"/>
        <w:autoSpaceDN w:val="0"/>
        <w:adjustRightInd w:val="0"/>
        <w:spacing w:after="60"/>
        <w:jc w:val="both"/>
        <w:rPr>
          <w:rFonts w:ascii="Arial Narrow" w:hAnsi="Arial Narrow" w:cs="Arial"/>
          <w:b/>
          <w:bCs/>
          <w:sz w:val="24"/>
          <w:szCs w:val="24"/>
          <w:lang w:eastAsia="es-ES"/>
        </w:rPr>
      </w:pPr>
      <w:r>
        <w:rPr>
          <w:rFonts w:ascii="Arial Narrow" w:hAnsi="Arial Narrow" w:cs="Arial"/>
          <w:b/>
          <w:bCs/>
          <w:sz w:val="24"/>
          <w:szCs w:val="24"/>
          <w:lang w:eastAsia="es-ES"/>
        </w:rPr>
        <w:t xml:space="preserve"> </w:t>
      </w:r>
      <w:r w:rsidR="0094167E">
        <w:rPr>
          <w:rFonts w:ascii="Arial Narrow" w:hAnsi="Arial Narrow" w:cs="Arial"/>
          <w:b/>
          <w:bCs/>
          <w:sz w:val="24"/>
          <w:szCs w:val="24"/>
          <w:lang w:eastAsia="es-ES"/>
        </w:rPr>
        <w:t xml:space="preserve">NI GA </w:t>
      </w:r>
      <w:r w:rsidR="00092EFF">
        <w:rPr>
          <w:rFonts w:ascii="Arial Narrow" w:hAnsi="Arial Narrow" w:cs="Arial"/>
          <w:b/>
          <w:bCs/>
          <w:sz w:val="24"/>
          <w:szCs w:val="24"/>
          <w:lang w:eastAsia="es-ES"/>
        </w:rPr>
        <w:t>10</w:t>
      </w:r>
      <w:r w:rsidR="00DC2BA4">
        <w:rPr>
          <w:rFonts w:ascii="Arial Narrow" w:hAnsi="Arial Narrow" w:cs="Arial"/>
          <w:b/>
          <w:bCs/>
          <w:sz w:val="24"/>
          <w:szCs w:val="24"/>
          <w:lang w:eastAsia="es-ES"/>
        </w:rPr>
        <w:t>/</w:t>
      </w:r>
      <w:r w:rsidR="00E61073">
        <w:rPr>
          <w:rFonts w:ascii="Arial Narrow" w:hAnsi="Arial Narrow" w:cs="Arial"/>
          <w:b/>
          <w:bCs/>
          <w:sz w:val="24"/>
          <w:szCs w:val="24"/>
          <w:lang w:eastAsia="es-ES"/>
        </w:rPr>
        <w:t>2015</w:t>
      </w:r>
      <w:r w:rsidR="00FD2102">
        <w:rPr>
          <w:rFonts w:ascii="Arial Narrow" w:hAnsi="Arial Narrow" w:cs="Arial"/>
          <w:b/>
          <w:bCs/>
          <w:sz w:val="24"/>
          <w:szCs w:val="24"/>
          <w:lang w:eastAsia="es-ES"/>
        </w:rPr>
        <w:t xml:space="preserve">  DE </w:t>
      </w:r>
      <w:r w:rsidR="0094167E">
        <w:rPr>
          <w:rFonts w:ascii="Arial Narrow" w:hAnsi="Arial Narrow" w:cs="Arial"/>
          <w:b/>
          <w:bCs/>
          <w:sz w:val="24"/>
          <w:szCs w:val="24"/>
          <w:lang w:eastAsia="es-ES"/>
        </w:rPr>
        <w:t>2</w:t>
      </w:r>
      <w:r w:rsidR="00092EFF">
        <w:rPr>
          <w:rFonts w:ascii="Arial Narrow" w:hAnsi="Arial Narrow" w:cs="Arial"/>
          <w:b/>
          <w:bCs/>
          <w:sz w:val="24"/>
          <w:szCs w:val="24"/>
          <w:lang w:eastAsia="es-ES"/>
        </w:rPr>
        <w:t>2</w:t>
      </w:r>
      <w:r w:rsidR="0094167E">
        <w:rPr>
          <w:rFonts w:ascii="Arial Narrow" w:hAnsi="Arial Narrow" w:cs="Arial"/>
          <w:b/>
          <w:bCs/>
          <w:sz w:val="24"/>
          <w:szCs w:val="24"/>
          <w:lang w:eastAsia="es-ES"/>
        </w:rPr>
        <w:t xml:space="preserve">  DE </w:t>
      </w:r>
      <w:r w:rsidR="00092EFF">
        <w:rPr>
          <w:rFonts w:ascii="Arial Narrow" w:hAnsi="Arial Narrow" w:cs="Arial"/>
          <w:b/>
          <w:bCs/>
          <w:sz w:val="24"/>
          <w:szCs w:val="24"/>
          <w:lang w:eastAsia="es-ES"/>
        </w:rPr>
        <w:t>DICIEMBRE, RELATIVA AL ACUERDO UE/ UCRANIA</w:t>
      </w:r>
    </w:p>
    <w:p w:rsidR="00092EFF" w:rsidRDefault="00092EFF" w:rsidP="00092EFF">
      <w:pPr>
        <w:autoSpaceDE w:val="0"/>
        <w:autoSpaceDN w:val="0"/>
        <w:adjustRightInd w:val="0"/>
        <w:spacing w:after="60"/>
        <w:jc w:val="both"/>
        <w:rPr>
          <w:rFonts w:ascii="Arial Narrow" w:hAnsi="Arial Narrow" w:cs="Arial"/>
          <w:bCs/>
          <w:sz w:val="24"/>
          <w:szCs w:val="24"/>
        </w:rPr>
      </w:pPr>
    </w:p>
    <w:p w:rsidR="00092EFF" w:rsidRDefault="00092EFF" w:rsidP="00092EFF">
      <w:pPr>
        <w:autoSpaceDE w:val="0"/>
        <w:autoSpaceDN w:val="0"/>
        <w:adjustRightInd w:val="0"/>
        <w:spacing w:after="60"/>
        <w:jc w:val="both"/>
        <w:rPr>
          <w:rFonts w:ascii="Arial Narrow" w:hAnsi="Arial Narrow" w:cs="Arial"/>
          <w:bCs/>
          <w:sz w:val="24"/>
          <w:szCs w:val="24"/>
        </w:rPr>
      </w:pPr>
    </w:p>
    <w:p w:rsidR="00092EFF" w:rsidRDefault="00092EFF" w:rsidP="00092EFF">
      <w:pPr>
        <w:autoSpaceDE w:val="0"/>
        <w:autoSpaceDN w:val="0"/>
        <w:adjustRightInd w:val="0"/>
        <w:spacing w:after="60"/>
        <w:jc w:val="both"/>
        <w:rPr>
          <w:rFonts w:ascii="Arial Narrow" w:hAnsi="Arial Narrow" w:cs="Arial"/>
          <w:bCs/>
          <w:sz w:val="24"/>
          <w:szCs w:val="24"/>
        </w:rPr>
      </w:pPr>
    </w:p>
    <w:p w:rsidR="00092EFF" w:rsidRDefault="00092EFF" w:rsidP="00092EFF">
      <w:pPr>
        <w:autoSpaceDE w:val="0"/>
        <w:autoSpaceDN w:val="0"/>
        <w:adjustRightInd w:val="0"/>
        <w:spacing w:after="60"/>
        <w:jc w:val="both"/>
        <w:rPr>
          <w:rFonts w:ascii="Arial Narrow" w:hAnsi="Arial Narrow" w:cs="Arial"/>
          <w:bCs/>
          <w:sz w:val="24"/>
          <w:szCs w:val="24"/>
        </w:rPr>
      </w:pPr>
    </w:p>
    <w:p w:rsidR="00092EFF" w:rsidRDefault="00092EFF" w:rsidP="00092EFF">
      <w:p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 xml:space="preserve">Se comunica que en el </w:t>
      </w:r>
      <w:hyperlink r:id="rId8" w:history="1">
        <w:r>
          <w:rPr>
            <w:rStyle w:val="Hipervnculo"/>
            <w:rFonts w:ascii="Arial Narrow" w:hAnsi="Arial Narrow"/>
            <w:b/>
            <w:bCs/>
          </w:rPr>
          <w:t>DOUE L-Nº 278</w:t>
        </w:r>
      </w:hyperlink>
      <w:r>
        <w:rPr>
          <w:rFonts w:ascii="Arial Narrow" w:hAnsi="Arial Narrow" w:cs="Arial"/>
          <w:b/>
          <w:bCs/>
          <w:sz w:val="24"/>
          <w:szCs w:val="24"/>
        </w:rPr>
        <w:t xml:space="preserve"> p 1 </w:t>
      </w:r>
      <w:r>
        <w:rPr>
          <w:rFonts w:ascii="Arial Narrow" w:hAnsi="Arial Narrow" w:cs="Arial"/>
          <w:bCs/>
          <w:sz w:val="24"/>
          <w:szCs w:val="24"/>
        </w:rPr>
        <w:t xml:space="preserve">de </w:t>
      </w:r>
      <w:r>
        <w:rPr>
          <w:rFonts w:ascii="Arial Narrow" w:hAnsi="Arial Narrow" w:cs="Arial"/>
          <w:b/>
          <w:bCs/>
          <w:sz w:val="24"/>
          <w:szCs w:val="24"/>
        </w:rPr>
        <w:t xml:space="preserve">20-09-2014, </w:t>
      </w:r>
      <w:r>
        <w:rPr>
          <w:rFonts w:ascii="Arial Narrow" w:hAnsi="Arial Narrow" w:cs="Arial"/>
          <w:bCs/>
          <w:sz w:val="24"/>
          <w:szCs w:val="24"/>
        </w:rPr>
        <w:t xml:space="preserve">se ha publicado la </w:t>
      </w:r>
      <w:hyperlink r:id="rId9" w:history="1">
        <w:r>
          <w:rPr>
            <w:rStyle w:val="Hipervnculo"/>
            <w:rFonts w:ascii="Arial Narrow" w:hAnsi="Arial Narrow"/>
            <w:bCs/>
          </w:rPr>
          <w:t>Decisión del Consejo 2014/668/UE</w:t>
        </w:r>
      </w:hyperlink>
      <w:r>
        <w:rPr>
          <w:rFonts w:ascii="Arial Narrow" w:hAnsi="Arial Narrow" w:cs="Arial"/>
          <w:bCs/>
          <w:sz w:val="24"/>
          <w:szCs w:val="24"/>
        </w:rPr>
        <w:t xml:space="preserve">, relativa a la firma, en nombre de la Unión Europea, y a la aplicación provisional del Acuerdo de Asociación entre la Unión Europea y la Comunidad Europea de la Energía Atómica y sus Estados miembros, por una parte, y Ucrania, por otra, en lo que se refiere al título III (con excepción de las disposiciones relativas al tratamiento de los nacionales de terceros países legalmente empleados como trabajadores en el territorio de la otra Parte), </w:t>
      </w:r>
      <w:r>
        <w:rPr>
          <w:rFonts w:ascii="Arial Narrow" w:hAnsi="Arial Narrow" w:cs="Arial"/>
          <w:b/>
          <w:bCs/>
          <w:sz w:val="24"/>
          <w:szCs w:val="24"/>
        </w:rPr>
        <w:t>y títulos IV</w:t>
      </w:r>
      <w:r>
        <w:rPr>
          <w:rFonts w:ascii="Arial Narrow" w:hAnsi="Arial Narrow" w:cs="Arial"/>
          <w:bCs/>
          <w:sz w:val="24"/>
          <w:szCs w:val="24"/>
        </w:rPr>
        <w:t xml:space="preserve">, V, VI y VII del mismo, así como los anexos y </w:t>
      </w:r>
      <w:r>
        <w:rPr>
          <w:rFonts w:ascii="Arial Narrow" w:hAnsi="Arial Narrow" w:cs="Arial"/>
          <w:b/>
          <w:bCs/>
          <w:sz w:val="24"/>
          <w:szCs w:val="24"/>
        </w:rPr>
        <w:t>Protocolos conexos</w:t>
      </w:r>
      <w:r>
        <w:rPr>
          <w:rFonts w:ascii="Arial Narrow" w:hAnsi="Arial Narrow" w:cs="Arial"/>
          <w:bCs/>
          <w:sz w:val="24"/>
          <w:szCs w:val="24"/>
        </w:rPr>
        <w:t>.</w:t>
      </w:r>
    </w:p>
    <w:p w:rsidR="00092EFF" w:rsidRDefault="00092EFF" w:rsidP="00092EFF">
      <w:p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 xml:space="preserve">El </w:t>
      </w:r>
      <w:hyperlink r:id="rId10" w:history="1">
        <w:r>
          <w:rPr>
            <w:rStyle w:val="Hipervnculo"/>
            <w:rFonts w:ascii="Arial Narrow" w:hAnsi="Arial Narrow"/>
            <w:bCs/>
          </w:rPr>
          <w:t>texto del Acuerdo</w:t>
        </w:r>
      </w:hyperlink>
      <w:r>
        <w:rPr>
          <w:rFonts w:ascii="Arial Narrow" w:hAnsi="Arial Narrow" w:cs="Arial"/>
          <w:bCs/>
          <w:sz w:val="24"/>
          <w:szCs w:val="24"/>
        </w:rPr>
        <w:t xml:space="preserve"> ha sido publicado en el </w:t>
      </w:r>
      <w:hyperlink r:id="rId11" w:history="1">
        <w:r>
          <w:rPr>
            <w:rStyle w:val="Hipervnculo"/>
            <w:rFonts w:ascii="Arial Narrow" w:hAnsi="Arial Narrow"/>
            <w:bCs/>
          </w:rPr>
          <w:t>DOUE L 161 de 29.5.2014</w:t>
        </w:r>
      </w:hyperlink>
      <w:r>
        <w:rPr>
          <w:rFonts w:ascii="Arial Narrow" w:hAnsi="Arial Narrow" w:cs="Arial"/>
          <w:bCs/>
          <w:sz w:val="24"/>
          <w:szCs w:val="24"/>
        </w:rPr>
        <w:t>, p.3 junto con la Decisión 2014/295/UE del Consejo, de 17 de marzo de 2014, relativa a la firma, en nombre de la Unión Europea, y a la aplicación provisional del Acuerdo de Asociación entre la Unión Europea y la Comunidad Europea de la Energía Atómica y sus Estados miembros, por una parte, y Ucrania, por otra, en lo que se refiere al preámbulo, artículo 1 y títulos I, II y VII del mismo.</w:t>
      </w:r>
    </w:p>
    <w:p w:rsidR="00092EFF" w:rsidRDefault="00092EFF" w:rsidP="00092EFF">
      <w:pPr>
        <w:autoSpaceDE w:val="0"/>
        <w:autoSpaceDN w:val="0"/>
        <w:adjustRightInd w:val="0"/>
        <w:spacing w:after="60"/>
        <w:jc w:val="both"/>
        <w:rPr>
          <w:rFonts w:ascii="Arial Narrow" w:hAnsi="Arial Narrow" w:cs="Arial"/>
          <w:bCs/>
          <w:sz w:val="24"/>
          <w:szCs w:val="24"/>
        </w:rPr>
      </w:pPr>
      <w:r>
        <w:rPr>
          <w:rFonts w:ascii="Arial Narrow" w:hAnsi="Arial Narrow" w:cs="Arial"/>
          <w:b/>
          <w:bCs/>
          <w:sz w:val="24"/>
          <w:szCs w:val="24"/>
        </w:rPr>
        <w:t xml:space="preserve"> </w:t>
      </w:r>
      <w:r>
        <w:rPr>
          <w:rFonts w:ascii="Arial Narrow" w:hAnsi="Arial Narrow" w:cs="Arial"/>
          <w:bCs/>
          <w:sz w:val="24"/>
          <w:szCs w:val="24"/>
          <w:lang w:val="es-ES_tradnl"/>
        </w:rPr>
        <w:t xml:space="preserve">La </w:t>
      </w:r>
      <w:hyperlink r:id="rId12" w:history="1">
        <w:r>
          <w:rPr>
            <w:rStyle w:val="Hipervnculo"/>
            <w:rFonts w:ascii="Arial Narrow" w:hAnsi="Arial Narrow"/>
            <w:bCs/>
            <w:lang w:val="es-ES_tradnl"/>
          </w:rPr>
          <w:t>Aplicación provisional</w:t>
        </w:r>
      </w:hyperlink>
      <w:r>
        <w:rPr>
          <w:rFonts w:ascii="Arial Narrow" w:hAnsi="Arial Narrow" w:cs="Arial"/>
          <w:bCs/>
          <w:sz w:val="24"/>
          <w:szCs w:val="24"/>
          <w:lang w:val="es-ES_tradnl"/>
        </w:rPr>
        <w:t xml:space="preserve"> de este Acuerdo es a partir del </w:t>
      </w:r>
      <w:r>
        <w:rPr>
          <w:rFonts w:ascii="Arial Narrow" w:hAnsi="Arial Narrow" w:cs="Arial"/>
          <w:b/>
          <w:bCs/>
          <w:sz w:val="24"/>
          <w:szCs w:val="24"/>
          <w:lang w:val="es-ES_tradnl"/>
        </w:rPr>
        <w:t>1 de enero de 2016</w:t>
      </w:r>
      <w:r>
        <w:rPr>
          <w:rFonts w:ascii="Arial Narrow" w:hAnsi="Arial Narrow" w:cs="Arial"/>
          <w:bCs/>
          <w:sz w:val="24"/>
          <w:szCs w:val="24"/>
          <w:lang w:val="es-ES_tradnl"/>
        </w:rPr>
        <w:t xml:space="preserve">, según se establece en </w:t>
      </w:r>
      <w:r>
        <w:rPr>
          <w:rFonts w:ascii="Arial Narrow" w:hAnsi="Arial Narrow" w:cs="Arial"/>
          <w:bCs/>
          <w:sz w:val="24"/>
          <w:szCs w:val="24"/>
        </w:rPr>
        <w:t xml:space="preserve">el </w:t>
      </w:r>
      <w:hyperlink r:id="rId13" w:history="1">
        <w:r>
          <w:rPr>
            <w:rStyle w:val="Hipervnculo"/>
            <w:rFonts w:ascii="Arial Narrow" w:hAnsi="Arial Narrow"/>
            <w:bCs/>
          </w:rPr>
          <w:t>aviso</w:t>
        </w:r>
      </w:hyperlink>
      <w:r>
        <w:rPr>
          <w:rFonts w:ascii="Arial Narrow" w:hAnsi="Arial Narrow" w:cs="Arial"/>
          <w:bCs/>
          <w:sz w:val="24"/>
          <w:szCs w:val="24"/>
        </w:rPr>
        <w:t>, publicado en el DOUE</w:t>
      </w:r>
      <w:r>
        <w:rPr>
          <w:rFonts w:ascii="Arial Narrow" w:hAnsi="Arial Narrow" w:cs="Arial"/>
          <w:b/>
          <w:bCs/>
          <w:sz w:val="24"/>
          <w:szCs w:val="24"/>
        </w:rPr>
        <w:t xml:space="preserve"> </w:t>
      </w:r>
      <w:hyperlink r:id="rId14" w:history="1">
        <w:r>
          <w:rPr>
            <w:rStyle w:val="Hipervnculo"/>
            <w:rFonts w:ascii="Arial Narrow" w:hAnsi="Arial Narrow"/>
            <w:bCs/>
            <w:lang w:val="es-ES_tradnl"/>
          </w:rPr>
          <w:t>L-321 de 05-12-2015</w:t>
        </w:r>
      </w:hyperlink>
      <w:r>
        <w:rPr>
          <w:rFonts w:ascii="Arial Narrow" w:hAnsi="Arial Narrow" w:cs="Arial"/>
          <w:bCs/>
          <w:sz w:val="24"/>
          <w:szCs w:val="24"/>
          <w:lang w:val="es-ES_tradnl"/>
        </w:rPr>
        <w:t>, pg. 1,</w:t>
      </w:r>
      <w:r>
        <w:rPr>
          <w:rFonts w:ascii="Arial Narrow" w:hAnsi="Arial Narrow" w:cs="Arial"/>
          <w:b/>
          <w:bCs/>
          <w:sz w:val="24"/>
          <w:szCs w:val="24"/>
          <w:lang w:val="es-ES_tradnl"/>
        </w:rPr>
        <w:t xml:space="preserve"> </w:t>
      </w:r>
      <w:r>
        <w:rPr>
          <w:rFonts w:ascii="Arial Narrow" w:hAnsi="Arial Narrow" w:cs="Arial"/>
          <w:bCs/>
          <w:sz w:val="24"/>
          <w:szCs w:val="24"/>
        </w:rPr>
        <w:t xml:space="preserve"> relativo</w:t>
      </w:r>
      <w:r>
        <w:rPr>
          <w:rFonts w:ascii="Arial Narrow" w:hAnsi="Arial Narrow" w:cs="Arial"/>
          <w:b/>
          <w:bCs/>
          <w:sz w:val="24"/>
          <w:szCs w:val="24"/>
        </w:rPr>
        <w:t xml:space="preserve"> </w:t>
      </w:r>
      <w:r>
        <w:rPr>
          <w:rFonts w:ascii="Arial Narrow" w:hAnsi="Arial Narrow" w:cs="Arial"/>
          <w:bCs/>
          <w:sz w:val="24"/>
          <w:szCs w:val="24"/>
        </w:rPr>
        <w:t>a la aplicación provisional del Acuerdo de Asociación entre la Unión Europea y la Comunidad Europea de la Energía Atómica y sus Estados miembros, por una parte, y Ucrania, por otra.</w:t>
      </w:r>
    </w:p>
    <w:p w:rsidR="00092EFF" w:rsidRDefault="00092EFF" w:rsidP="00092EFF">
      <w:p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 xml:space="preserve">Las principales </w:t>
      </w:r>
      <w:r>
        <w:rPr>
          <w:rFonts w:ascii="Arial Narrow" w:hAnsi="Arial Narrow" w:cs="Arial"/>
          <w:b/>
          <w:bCs/>
          <w:sz w:val="24"/>
          <w:szCs w:val="24"/>
        </w:rPr>
        <w:t>características de este Acuerdo desde el punto de vista de origen</w:t>
      </w:r>
      <w:r>
        <w:rPr>
          <w:rFonts w:ascii="Arial Narrow" w:hAnsi="Arial Narrow" w:cs="Arial"/>
          <w:bCs/>
          <w:sz w:val="24"/>
          <w:szCs w:val="24"/>
        </w:rPr>
        <w:t xml:space="preserve"> cuyas normas se encuentran recogidas en el </w:t>
      </w:r>
      <w:r>
        <w:rPr>
          <w:rFonts w:ascii="Arial Narrow" w:hAnsi="Arial Narrow" w:cs="Arial"/>
          <w:b/>
          <w:bCs/>
          <w:sz w:val="24"/>
          <w:szCs w:val="24"/>
        </w:rPr>
        <w:t>Protocolo 1 (a partir de la página 1994 del texto del Acuerdo)</w:t>
      </w:r>
      <w:r>
        <w:rPr>
          <w:rFonts w:ascii="Arial Narrow" w:hAnsi="Arial Narrow" w:cs="Arial"/>
          <w:bCs/>
          <w:sz w:val="24"/>
          <w:szCs w:val="24"/>
        </w:rPr>
        <w:t>, relativo a la definición del concepto de “productos originarios” y métodos de cooperación administrativa son:</w:t>
      </w: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Acumulación de origen: </w:t>
      </w:r>
      <w:r>
        <w:rPr>
          <w:rFonts w:ascii="Arial Narrow" w:hAnsi="Arial Narrow" w:cs="Arial"/>
          <w:bCs/>
          <w:sz w:val="24"/>
          <w:szCs w:val="24"/>
        </w:rPr>
        <w:t>únicamente se contempla la acumulación bilateral</w:t>
      </w:r>
      <w:r>
        <w:rPr>
          <w:rFonts w:ascii="Arial Narrow" w:hAnsi="Arial Narrow" w:cs="Arial"/>
          <w:b/>
          <w:bCs/>
          <w:sz w:val="24"/>
          <w:szCs w:val="24"/>
        </w:rPr>
        <w:t xml:space="preserve"> </w:t>
      </w:r>
      <w:r>
        <w:rPr>
          <w:rFonts w:ascii="Arial Narrow" w:hAnsi="Arial Narrow" w:cs="Arial"/>
          <w:bCs/>
          <w:sz w:val="24"/>
          <w:szCs w:val="24"/>
        </w:rPr>
        <w:t xml:space="preserve"> </w:t>
      </w:r>
    </w:p>
    <w:p w:rsidR="00092EFF" w:rsidRDefault="00092EFF" w:rsidP="00092EFF">
      <w:pPr>
        <w:numPr>
          <w:ilvl w:val="0"/>
          <w:numId w:val="5"/>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Acumulación en la Unión Europea (Art.3)</w:t>
      </w:r>
    </w:p>
    <w:p w:rsidR="00092EFF" w:rsidRDefault="00092EFF" w:rsidP="00092EFF">
      <w:pPr>
        <w:numPr>
          <w:ilvl w:val="0"/>
          <w:numId w:val="5"/>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Acumulación en Ucrania (Art.4)</w:t>
      </w:r>
    </w:p>
    <w:p w:rsidR="00092EFF" w:rsidRDefault="00092EFF" w:rsidP="00092EFF">
      <w:pPr>
        <w:autoSpaceDE w:val="0"/>
        <w:autoSpaceDN w:val="0"/>
        <w:adjustRightInd w:val="0"/>
        <w:spacing w:after="60"/>
        <w:ind w:left="1428"/>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Transformación suficiente </w:t>
      </w:r>
      <w:r>
        <w:rPr>
          <w:rFonts w:ascii="Arial Narrow" w:hAnsi="Arial Narrow" w:cs="Arial"/>
          <w:bCs/>
          <w:sz w:val="24"/>
          <w:szCs w:val="24"/>
        </w:rPr>
        <w:t>(Art 6)</w:t>
      </w:r>
    </w:p>
    <w:p w:rsidR="00092EFF" w:rsidRDefault="00092EFF" w:rsidP="00092EFF">
      <w:pPr>
        <w:autoSpaceDE w:val="0"/>
        <w:autoSpaceDN w:val="0"/>
        <w:adjustRightInd w:val="0"/>
        <w:spacing w:after="60"/>
        <w:ind w:left="720"/>
        <w:jc w:val="both"/>
        <w:rPr>
          <w:rFonts w:ascii="Arial Narrow" w:hAnsi="Arial Narrow" w:cs="Arial"/>
          <w:bCs/>
          <w:sz w:val="24"/>
          <w:szCs w:val="24"/>
        </w:rPr>
      </w:pPr>
      <w:r>
        <w:rPr>
          <w:rFonts w:ascii="Arial Narrow" w:hAnsi="Arial Narrow" w:cs="Arial"/>
          <w:bCs/>
          <w:sz w:val="24"/>
          <w:szCs w:val="24"/>
        </w:rPr>
        <w:t xml:space="preserve">Queda recogida en la </w:t>
      </w:r>
      <w:r>
        <w:rPr>
          <w:rFonts w:ascii="Arial Narrow" w:hAnsi="Arial Narrow" w:cs="Arial"/>
          <w:b/>
          <w:bCs/>
          <w:sz w:val="24"/>
          <w:szCs w:val="24"/>
        </w:rPr>
        <w:t>lista del Anexo II del Protocolo 1 de origen</w:t>
      </w:r>
      <w:r>
        <w:rPr>
          <w:rFonts w:ascii="Arial Narrow" w:hAnsi="Arial Narrow" w:cs="Arial"/>
          <w:bCs/>
          <w:sz w:val="24"/>
          <w:szCs w:val="24"/>
        </w:rPr>
        <w:t>, también se prevé una tolerancia general del 10% del precio franco fábrica del producto.</w:t>
      </w:r>
    </w:p>
    <w:p w:rsidR="00092EFF" w:rsidRDefault="00092EFF" w:rsidP="00092EFF">
      <w:pPr>
        <w:autoSpaceDE w:val="0"/>
        <w:autoSpaceDN w:val="0"/>
        <w:adjustRightInd w:val="0"/>
        <w:spacing w:after="60"/>
        <w:ind w:left="720"/>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Operaciones insuficientes </w:t>
      </w:r>
      <w:r>
        <w:rPr>
          <w:rFonts w:ascii="Arial Narrow" w:hAnsi="Arial Narrow" w:cs="Arial"/>
          <w:bCs/>
          <w:sz w:val="24"/>
          <w:szCs w:val="24"/>
        </w:rPr>
        <w:t>(Art.7)</w:t>
      </w:r>
    </w:p>
    <w:p w:rsidR="00092EFF" w:rsidRDefault="00092EFF" w:rsidP="00092EFF">
      <w:pPr>
        <w:autoSpaceDE w:val="0"/>
        <w:autoSpaceDN w:val="0"/>
        <w:adjustRightInd w:val="0"/>
        <w:spacing w:after="60"/>
        <w:ind w:left="720"/>
        <w:jc w:val="both"/>
        <w:rPr>
          <w:rFonts w:ascii="Arial Narrow" w:hAnsi="Arial Narrow" w:cs="Arial"/>
          <w:bCs/>
          <w:sz w:val="24"/>
          <w:szCs w:val="24"/>
        </w:rPr>
      </w:pPr>
      <w:r>
        <w:rPr>
          <w:rFonts w:ascii="Arial Narrow" w:hAnsi="Arial Narrow" w:cs="Arial"/>
          <w:bCs/>
          <w:sz w:val="24"/>
          <w:szCs w:val="24"/>
        </w:rPr>
        <w:lastRenderedPageBreak/>
        <w:t xml:space="preserve">Se señala que incluye como elaboración insuficiente </w:t>
      </w:r>
      <w:r>
        <w:rPr>
          <w:rFonts w:ascii="Arial Narrow" w:hAnsi="Arial Narrow" w:cs="Arial"/>
          <w:b/>
          <w:bCs/>
          <w:sz w:val="24"/>
          <w:szCs w:val="24"/>
        </w:rPr>
        <w:t>la mezcla</w:t>
      </w:r>
      <w:r>
        <w:rPr>
          <w:rFonts w:ascii="Arial Narrow" w:hAnsi="Arial Narrow" w:cs="Arial"/>
          <w:bCs/>
          <w:sz w:val="24"/>
          <w:szCs w:val="24"/>
        </w:rPr>
        <w:t xml:space="preserve"> </w:t>
      </w:r>
      <w:r>
        <w:rPr>
          <w:rFonts w:ascii="Arial Narrow" w:hAnsi="Arial Narrow" w:cs="Arial"/>
          <w:b/>
          <w:bCs/>
          <w:sz w:val="24"/>
          <w:szCs w:val="24"/>
        </w:rPr>
        <w:t>de azúcar con cualquier otra material</w:t>
      </w:r>
      <w:r>
        <w:rPr>
          <w:rFonts w:ascii="Arial Narrow" w:hAnsi="Arial Narrow" w:cs="Arial"/>
          <w:bCs/>
          <w:sz w:val="24"/>
          <w:szCs w:val="24"/>
        </w:rPr>
        <w:t xml:space="preserve"> (Art.7, apartado 1, letra m)</w:t>
      </w:r>
    </w:p>
    <w:p w:rsidR="00092EFF" w:rsidRDefault="00092EFF" w:rsidP="00092EFF">
      <w:pPr>
        <w:autoSpaceDE w:val="0"/>
        <w:autoSpaceDN w:val="0"/>
        <w:adjustRightInd w:val="0"/>
        <w:spacing w:after="60"/>
        <w:ind w:left="720"/>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Transporte directo </w:t>
      </w:r>
      <w:r>
        <w:rPr>
          <w:rFonts w:ascii="Arial Narrow" w:hAnsi="Arial Narrow" w:cs="Arial"/>
          <w:bCs/>
          <w:sz w:val="24"/>
          <w:szCs w:val="24"/>
        </w:rPr>
        <w:t>(Art.13)</w:t>
      </w:r>
    </w:p>
    <w:p w:rsidR="00092EFF" w:rsidRDefault="00092EFF" w:rsidP="00092EFF">
      <w:pPr>
        <w:autoSpaceDE w:val="0"/>
        <w:autoSpaceDN w:val="0"/>
        <w:adjustRightInd w:val="0"/>
        <w:spacing w:after="60"/>
        <w:ind w:left="720"/>
        <w:jc w:val="both"/>
        <w:rPr>
          <w:rFonts w:ascii="Arial Narrow" w:hAnsi="Arial Narrow" w:cs="Arial"/>
          <w:bCs/>
          <w:sz w:val="24"/>
          <w:szCs w:val="24"/>
        </w:rPr>
      </w:pPr>
      <w:r>
        <w:rPr>
          <w:rFonts w:ascii="Arial Narrow" w:hAnsi="Arial Narrow" w:cs="Arial"/>
          <w:bCs/>
          <w:sz w:val="24"/>
          <w:szCs w:val="24"/>
        </w:rPr>
        <w:t>Norma tradicional que exige la justificación del cumplimiento de las condiciones estipuladas mediante.</w:t>
      </w:r>
    </w:p>
    <w:p w:rsidR="00092EFF" w:rsidRDefault="00092EFF" w:rsidP="00092EFF">
      <w:pPr>
        <w:numPr>
          <w:ilvl w:val="0"/>
          <w:numId w:val="6"/>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Un documento único de transporte, o</w:t>
      </w:r>
    </w:p>
    <w:p w:rsidR="00092EFF" w:rsidRDefault="00092EFF" w:rsidP="00092EFF">
      <w:pPr>
        <w:numPr>
          <w:ilvl w:val="0"/>
          <w:numId w:val="6"/>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 xml:space="preserve">Un certificado de no manipulación, o </w:t>
      </w:r>
    </w:p>
    <w:p w:rsidR="00092EFF" w:rsidRDefault="00092EFF" w:rsidP="00092EFF">
      <w:pPr>
        <w:numPr>
          <w:ilvl w:val="0"/>
          <w:numId w:val="6"/>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 xml:space="preserve">En ausencia de los documentos anteriores </w:t>
      </w:r>
      <w:r>
        <w:rPr>
          <w:rFonts w:ascii="EUAlbertina-Regu" w:hAnsi="EUAlbertina-Regu" w:cs="EUAlbertina-Regu"/>
          <w:sz w:val="19"/>
          <w:szCs w:val="19"/>
          <w:lang w:eastAsia="es-ES"/>
        </w:rPr>
        <w:t xml:space="preserve"> cualesquiera documentos de prueba.</w:t>
      </w:r>
    </w:p>
    <w:p w:rsidR="00092EFF" w:rsidRDefault="00092EFF" w:rsidP="00092EFF">
      <w:pPr>
        <w:autoSpaceDE w:val="0"/>
        <w:autoSpaceDN w:val="0"/>
        <w:adjustRightInd w:val="0"/>
        <w:spacing w:after="60"/>
        <w:jc w:val="both"/>
        <w:rPr>
          <w:rFonts w:ascii="Arial Narrow" w:hAnsi="Arial Narrow" w:cs="Arial"/>
          <w:bCs/>
          <w:sz w:val="24"/>
          <w:szCs w:val="24"/>
        </w:rPr>
      </w:pPr>
    </w:p>
    <w:p w:rsidR="00092EFF" w:rsidRDefault="00092EFF" w:rsidP="00092EFF">
      <w:pPr>
        <w:autoSpaceDE w:val="0"/>
        <w:autoSpaceDN w:val="0"/>
        <w:adjustRightInd w:val="0"/>
        <w:spacing w:after="60"/>
        <w:ind w:left="708"/>
        <w:jc w:val="both"/>
        <w:rPr>
          <w:rFonts w:ascii="Arial Narrow" w:hAnsi="Arial Narrow" w:cs="Arial"/>
          <w:bCs/>
          <w:sz w:val="24"/>
          <w:szCs w:val="24"/>
        </w:rPr>
      </w:pPr>
      <w:r>
        <w:rPr>
          <w:rFonts w:ascii="Arial Narrow" w:hAnsi="Arial Narrow" w:cs="Arial"/>
          <w:bCs/>
          <w:sz w:val="24"/>
          <w:szCs w:val="24"/>
        </w:rPr>
        <w:t>No obstante, se recoge una tolerancia de extraterritorialidad del 10% del precio franco fábrica en el Art.12, apartados 3 a 8.</w:t>
      </w:r>
    </w:p>
    <w:p w:rsidR="00092EFF" w:rsidRDefault="00092EFF" w:rsidP="00092EFF">
      <w:pPr>
        <w:autoSpaceDE w:val="0"/>
        <w:autoSpaceDN w:val="0"/>
        <w:adjustRightInd w:val="0"/>
        <w:spacing w:after="60"/>
        <w:ind w:left="708"/>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Estipula la norma de prohibición de reintegro o exención </w:t>
      </w:r>
      <w:r>
        <w:rPr>
          <w:rFonts w:ascii="Arial Narrow" w:hAnsi="Arial Narrow" w:cs="Arial"/>
          <w:bCs/>
          <w:sz w:val="24"/>
          <w:szCs w:val="24"/>
        </w:rPr>
        <w:t xml:space="preserve">de los derechos de aduanas (Norma de No </w:t>
      </w:r>
      <w:proofErr w:type="spellStart"/>
      <w:r>
        <w:rPr>
          <w:rFonts w:ascii="Arial Narrow" w:hAnsi="Arial Narrow" w:cs="Arial"/>
          <w:bCs/>
          <w:sz w:val="24"/>
          <w:szCs w:val="24"/>
        </w:rPr>
        <w:t>drawback</w:t>
      </w:r>
      <w:proofErr w:type="spellEnd"/>
      <w:r>
        <w:rPr>
          <w:rFonts w:ascii="Arial Narrow" w:hAnsi="Arial Narrow" w:cs="Arial"/>
          <w:bCs/>
          <w:sz w:val="24"/>
          <w:szCs w:val="24"/>
        </w:rPr>
        <w:t>) (Art15).</w:t>
      </w:r>
    </w:p>
    <w:p w:rsidR="00092EFF" w:rsidRDefault="00092EFF" w:rsidP="00092EFF">
      <w:pPr>
        <w:autoSpaceDE w:val="0"/>
        <w:autoSpaceDN w:val="0"/>
        <w:adjustRightInd w:val="0"/>
        <w:spacing w:after="60"/>
        <w:ind w:left="720"/>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La prueba de origen </w:t>
      </w:r>
      <w:r>
        <w:rPr>
          <w:rFonts w:ascii="Arial Narrow" w:hAnsi="Arial Narrow" w:cs="Arial"/>
          <w:bCs/>
          <w:sz w:val="24"/>
          <w:szCs w:val="24"/>
        </w:rPr>
        <w:t>(Art.16) es:</w:t>
      </w:r>
    </w:p>
    <w:p w:rsidR="00092EFF" w:rsidRDefault="00092EFF" w:rsidP="00092EFF">
      <w:pPr>
        <w:numPr>
          <w:ilvl w:val="0"/>
          <w:numId w:val="7"/>
        </w:numPr>
        <w:autoSpaceDE w:val="0"/>
        <w:autoSpaceDN w:val="0"/>
        <w:adjustRightInd w:val="0"/>
        <w:spacing w:after="60"/>
        <w:jc w:val="both"/>
        <w:rPr>
          <w:rFonts w:ascii="Arial Narrow" w:hAnsi="Arial Narrow" w:cs="Arial"/>
          <w:b/>
          <w:bCs/>
          <w:sz w:val="24"/>
          <w:szCs w:val="24"/>
        </w:rPr>
      </w:pPr>
      <w:r>
        <w:rPr>
          <w:rFonts w:ascii="Arial Narrow" w:hAnsi="Arial Narrow" w:cs="Arial"/>
          <w:bCs/>
          <w:sz w:val="24"/>
          <w:szCs w:val="24"/>
        </w:rPr>
        <w:t xml:space="preserve">El Certificado </w:t>
      </w:r>
      <w:r>
        <w:rPr>
          <w:rFonts w:ascii="Arial Narrow" w:hAnsi="Arial Narrow" w:cs="Arial"/>
          <w:b/>
          <w:bCs/>
          <w:sz w:val="24"/>
          <w:szCs w:val="24"/>
        </w:rPr>
        <w:t>EUR-1</w:t>
      </w:r>
      <w:r>
        <w:rPr>
          <w:rFonts w:ascii="Arial Narrow" w:hAnsi="Arial Narrow" w:cs="Arial"/>
          <w:bCs/>
          <w:sz w:val="24"/>
          <w:szCs w:val="24"/>
        </w:rPr>
        <w:t xml:space="preserve">  ó</w:t>
      </w:r>
    </w:p>
    <w:p w:rsidR="00092EFF" w:rsidRDefault="00092EFF" w:rsidP="00092EFF">
      <w:pPr>
        <w:numPr>
          <w:ilvl w:val="0"/>
          <w:numId w:val="7"/>
        </w:numPr>
        <w:autoSpaceDE w:val="0"/>
        <w:autoSpaceDN w:val="0"/>
        <w:adjustRightInd w:val="0"/>
        <w:spacing w:after="60"/>
        <w:jc w:val="both"/>
        <w:rPr>
          <w:rFonts w:ascii="Arial Narrow" w:hAnsi="Arial Narrow" w:cs="Arial"/>
          <w:b/>
          <w:bCs/>
          <w:sz w:val="24"/>
          <w:szCs w:val="24"/>
        </w:rPr>
      </w:pPr>
      <w:r>
        <w:rPr>
          <w:rFonts w:ascii="Arial Narrow" w:hAnsi="Arial Narrow" w:cs="Arial"/>
          <w:bCs/>
          <w:sz w:val="24"/>
          <w:szCs w:val="24"/>
        </w:rPr>
        <w:t xml:space="preserve">La </w:t>
      </w:r>
      <w:r>
        <w:rPr>
          <w:rFonts w:ascii="Arial Narrow" w:hAnsi="Arial Narrow" w:cs="Arial"/>
          <w:b/>
          <w:bCs/>
          <w:sz w:val="24"/>
          <w:szCs w:val="24"/>
        </w:rPr>
        <w:t>declaración en factura</w:t>
      </w:r>
      <w:r>
        <w:rPr>
          <w:rFonts w:ascii="Arial Narrow" w:hAnsi="Arial Narrow" w:cs="Arial"/>
          <w:bCs/>
          <w:sz w:val="24"/>
          <w:szCs w:val="24"/>
        </w:rPr>
        <w:t>, que puede ser extendida por el exportador en una factura, una nota de entrega o cualquier otro documento comercial.</w:t>
      </w:r>
    </w:p>
    <w:p w:rsidR="00092EFF" w:rsidRDefault="00092EFF" w:rsidP="00092EFF">
      <w:pPr>
        <w:autoSpaceDE w:val="0"/>
        <w:autoSpaceDN w:val="0"/>
        <w:adjustRightInd w:val="0"/>
        <w:spacing w:after="60"/>
        <w:ind w:left="708"/>
        <w:jc w:val="both"/>
        <w:rPr>
          <w:rFonts w:ascii="Arial Narrow" w:hAnsi="Arial Narrow" w:cs="Arial"/>
          <w:bCs/>
          <w:sz w:val="24"/>
          <w:szCs w:val="24"/>
        </w:rPr>
      </w:pPr>
      <w:r>
        <w:rPr>
          <w:rFonts w:ascii="Arial Narrow" w:hAnsi="Arial Narrow" w:cs="Arial"/>
          <w:bCs/>
          <w:sz w:val="24"/>
          <w:szCs w:val="24"/>
        </w:rPr>
        <w:t xml:space="preserve">Estas pruebas de origen tendrán una </w:t>
      </w:r>
      <w:r>
        <w:rPr>
          <w:rFonts w:ascii="Arial Narrow" w:hAnsi="Arial Narrow" w:cs="Arial"/>
          <w:b/>
          <w:bCs/>
          <w:sz w:val="24"/>
          <w:szCs w:val="24"/>
        </w:rPr>
        <w:t>validez</w:t>
      </w:r>
      <w:r>
        <w:rPr>
          <w:rFonts w:ascii="Arial Narrow" w:hAnsi="Arial Narrow" w:cs="Arial"/>
          <w:bCs/>
          <w:sz w:val="24"/>
          <w:szCs w:val="24"/>
        </w:rPr>
        <w:t xml:space="preserve"> de </w:t>
      </w:r>
      <w:r>
        <w:rPr>
          <w:rFonts w:ascii="Arial Narrow" w:hAnsi="Arial Narrow" w:cs="Arial"/>
          <w:b/>
          <w:bCs/>
          <w:sz w:val="24"/>
          <w:szCs w:val="24"/>
        </w:rPr>
        <w:t>cuatro meses</w:t>
      </w:r>
      <w:r>
        <w:rPr>
          <w:rFonts w:ascii="Arial Narrow" w:hAnsi="Arial Narrow" w:cs="Arial"/>
          <w:bCs/>
          <w:sz w:val="24"/>
          <w:szCs w:val="24"/>
        </w:rPr>
        <w:t xml:space="preserve"> desde su expedición (Art.24).</w:t>
      </w:r>
    </w:p>
    <w:p w:rsidR="00092EFF" w:rsidRDefault="00092EFF" w:rsidP="00092EFF">
      <w:pPr>
        <w:autoSpaceDE w:val="0"/>
        <w:autoSpaceDN w:val="0"/>
        <w:adjustRightInd w:val="0"/>
        <w:spacing w:after="60"/>
        <w:ind w:left="708"/>
        <w:jc w:val="both"/>
        <w:rPr>
          <w:rFonts w:ascii="Arial Narrow" w:hAnsi="Arial Narrow" w:cs="Arial"/>
          <w:bCs/>
          <w:sz w:val="24"/>
          <w:szCs w:val="24"/>
        </w:rPr>
      </w:pPr>
      <w:r>
        <w:rPr>
          <w:rFonts w:ascii="Arial Narrow" w:hAnsi="Arial Narrow" w:cs="Arial"/>
          <w:bCs/>
          <w:sz w:val="24"/>
          <w:szCs w:val="24"/>
        </w:rPr>
        <w:t>No obstante, puede aceptarse la prueba de origen una vez expirado dicho plazo de validez debido a:</w:t>
      </w:r>
    </w:p>
    <w:p w:rsidR="00092EFF" w:rsidRDefault="00092EFF" w:rsidP="00092EFF">
      <w:pPr>
        <w:numPr>
          <w:ilvl w:val="0"/>
          <w:numId w:val="8"/>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Circunstancias excepcionales ó</w:t>
      </w:r>
    </w:p>
    <w:p w:rsidR="00092EFF" w:rsidRDefault="00092EFF" w:rsidP="00092EFF">
      <w:pPr>
        <w:numPr>
          <w:ilvl w:val="0"/>
          <w:numId w:val="8"/>
        </w:numPr>
        <w:autoSpaceDE w:val="0"/>
        <w:autoSpaceDN w:val="0"/>
        <w:adjustRightInd w:val="0"/>
        <w:spacing w:after="60"/>
        <w:jc w:val="both"/>
        <w:rPr>
          <w:rFonts w:ascii="Arial Narrow" w:hAnsi="Arial Narrow" w:cs="Arial"/>
          <w:bCs/>
          <w:sz w:val="24"/>
          <w:szCs w:val="24"/>
        </w:rPr>
      </w:pPr>
      <w:r>
        <w:rPr>
          <w:rFonts w:ascii="Arial Narrow" w:hAnsi="Arial Narrow" w:cs="Arial"/>
          <w:bCs/>
          <w:sz w:val="24"/>
          <w:szCs w:val="24"/>
        </w:rPr>
        <w:t>Si las mercancías habían sido presentadas para su despacho antes de la expiración del plazo de validez de la prueba.</w:t>
      </w:r>
    </w:p>
    <w:p w:rsidR="00092EFF" w:rsidRDefault="00092EFF" w:rsidP="00092EFF">
      <w:pPr>
        <w:autoSpaceDE w:val="0"/>
        <w:autoSpaceDN w:val="0"/>
        <w:adjustRightInd w:val="0"/>
        <w:spacing w:after="60"/>
        <w:ind w:left="709"/>
        <w:jc w:val="both"/>
        <w:rPr>
          <w:rFonts w:ascii="Arial Narrow" w:hAnsi="Arial Narrow" w:cs="Arial"/>
          <w:bCs/>
          <w:sz w:val="24"/>
          <w:szCs w:val="24"/>
        </w:rPr>
      </w:pPr>
      <w:r>
        <w:rPr>
          <w:rFonts w:ascii="Arial Narrow" w:hAnsi="Arial Narrow" w:cs="Arial"/>
          <w:bCs/>
          <w:sz w:val="24"/>
          <w:szCs w:val="24"/>
        </w:rPr>
        <w:t xml:space="preserve">El exportador que extienda la “declaración en factura” podrá hacerla sin autorización previa de la autoridad aduanera del país de exportación si el envío es inferior a 6.000 €. Para envíos superior a 6.000 € se precisa, en todo caso, que el exportador cuente con la correspondiente autorización e indique en la “declaración en factura” el número de autorización que se le ha asignado (Art.22) </w:t>
      </w:r>
    </w:p>
    <w:p w:rsidR="00092EFF" w:rsidRDefault="00092EFF" w:rsidP="00092EFF">
      <w:pPr>
        <w:autoSpaceDE w:val="0"/>
        <w:autoSpaceDN w:val="0"/>
        <w:adjustRightInd w:val="0"/>
        <w:spacing w:after="60"/>
        <w:ind w:left="709"/>
        <w:jc w:val="both"/>
        <w:rPr>
          <w:rFonts w:ascii="Arial Narrow" w:hAnsi="Arial Narrow" w:cs="Arial"/>
          <w:bCs/>
          <w:sz w:val="24"/>
          <w:szCs w:val="24"/>
        </w:rPr>
      </w:pPr>
      <w:r>
        <w:rPr>
          <w:rFonts w:ascii="Arial Narrow" w:hAnsi="Arial Narrow" w:cs="Arial"/>
          <w:bCs/>
          <w:sz w:val="24"/>
          <w:szCs w:val="24"/>
        </w:rPr>
        <w:t>Texto modelo de la “declaración en factura” se encuentra en el Anexo  IV del Protocolo I.</w:t>
      </w:r>
    </w:p>
    <w:p w:rsidR="00092EFF" w:rsidRDefault="00092EFF" w:rsidP="00092EFF">
      <w:pPr>
        <w:autoSpaceDE w:val="0"/>
        <w:autoSpaceDN w:val="0"/>
        <w:adjustRightInd w:val="0"/>
        <w:spacing w:after="60"/>
        <w:ind w:left="708"/>
        <w:jc w:val="both"/>
        <w:rPr>
          <w:rFonts w:ascii="Arial Narrow" w:hAnsi="Arial Narrow" w:cs="Arial"/>
          <w:bCs/>
          <w:sz w:val="24"/>
          <w:szCs w:val="24"/>
        </w:rPr>
      </w:pPr>
      <w:r>
        <w:rPr>
          <w:rFonts w:ascii="Arial Narrow" w:hAnsi="Arial Narrow" w:cs="Arial"/>
          <w:bCs/>
          <w:sz w:val="24"/>
          <w:szCs w:val="24"/>
        </w:rPr>
        <w:t xml:space="preserve">La declaración de origen puede extenderse en el momento en que se exporten los productos  o con posterioridad siempre que se presente en la País de importadora dentro </w:t>
      </w:r>
      <w:r>
        <w:rPr>
          <w:rFonts w:ascii="Arial Narrow" w:hAnsi="Arial Narrow" w:cs="Arial"/>
          <w:bCs/>
          <w:sz w:val="24"/>
          <w:szCs w:val="24"/>
        </w:rPr>
        <w:lastRenderedPageBreak/>
        <w:t>del plazo de los dos años siguientes a la importación de los productos en cuestión (Art.22 apartado 6).</w:t>
      </w:r>
    </w:p>
    <w:p w:rsidR="00092EFF" w:rsidRDefault="00092EFF" w:rsidP="00092EFF">
      <w:pPr>
        <w:autoSpaceDE w:val="0"/>
        <w:autoSpaceDN w:val="0"/>
        <w:adjustRightInd w:val="0"/>
        <w:spacing w:after="60"/>
        <w:ind w:left="708"/>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Separación contable (art 21)</w:t>
      </w:r>
    </w:p>
    <w:p w:rsidR="00092EFF" w:rsidRDefault="00092EFF" w:rsidP="00092EFF">
      <w:pPr>
        <w:autoSpaceDE w:val="0"/>
        <w:autoSpaceDN w:val="0"/>
        <w:adjustRightInd w:val="0"/>
        <w:spacing w:after="60"/>
        <w:ind w:left="709"/>
        <w:jc w:val="both"/>
        <w:rPr>
          <w:rFonts w:ascii="Arial Narrow" w:hAnsi="Arial Narrow" w:cs="Arial"/>
          <w:bCs/>
          <w:sz w:val="24"/>
          <w:szCs w:val="24"/>
        </w:rPr>
      </w:pPr>
      <w:r>
        <w:rPr>
          <w:rFonts w:ascii="Arial Narrow" w:hAnsi="Arial Narrow" w:cs="Arial"/>
          <w:bCs/>
          <w:sz w:val="24"/>
          <w:szCs w:val="24"/>
        </w:rPr>
        <w:t xml:space="preserve">Siempre que se solicite y obtenga de las autoridades aduaneras la preceptiva autorización, conforme se estipula en el artículo 20, el operador podrá  aplicar el método contable de gestión de stocks </w:t>
      </w:r>
      <w:r>
        <w:rPr>
          <w:rFonts w:ascii="Arial Narrow" w:hAnsi="Arial Narrow" w:cs="Arial"/>
          <w:b/>
          <w:bCs/>
          <w:sz w:val="24"/>
          <w:szCs w:val="24"/>
        </w:rPr>
        <w:t>de las materias primas.</w:t>
      </w: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 xml:space="preserve">Exención </w:t>
      </w:r>
      <w:r>
        <w:rPr>
          <w:rFonts w:ascii="Arial Narrow" w:hAnsi="Arial Narrow" w:cs="Arial"/>
          <w:bCs/>
          <w:sz w:val="24"/>
          <w:szCs w:val="24"/>
        </w:rPr>
        <w:t xml:space="preserve">de la </w:t>
      </w:r>
      <w:r>
        <w:rPr>
          <w:rFonts w:ascii="Arial Narrow" w:hAnsi="Arial Narrow" w:cs="Arial"/>
          <w:b/>
          <w:bCs/>
          <w:sz w:val="24"/>
          <w:szCs w:val="24"/>
        </w:rPr>
        <w:t xml:space="preserve">prueba de origen </w:t>
      </w:r>
      <w:r>
        <w:rPr>
          <w:rFonts w:ascii="Arial Narrow" w:hAnsi="Arial Narrow" w:cs="Arial"/>
          <w:bCs/>
          <w:sz w:val="24"/>
          <w:szCs w:val="24"/>
        </w:rPr>
        <w:t>(Art.27).</w:t>
      </w:r>
    </w:p>
    <w:p w:rsidR="00092EFF" w:rsidRDefault="00092EFF" w:rsidP="00092EFF">
      <w:pPr>
        <w:autoSpaceDE w:val="0"/>
        <w:autoSpaceDN w:val="0"/>
        <w:adjustRightInd w:val="0"/>
        <w:spacing w:after="60"/>
        <w:ind w:left="720"/>
        <w:jc w:val="both"/>
        <w:rPr>
          <w:rFonts w:ascii="Arial Narrow" w:hAnsi="Arial Narrow" w:cs="Arial"/>
          <w:bCs/>
          <w:sz w:val="24"/>
          <w:szCs w:val="24"/>
        </w:rPr>
      </w:pPr>
      <w:r>
        <w:rPr>
          <w:rFonts w:ascii="Arial Narrow" w:hAnsi="Arial Narrow" w:cs="Arial"/>
          <w:bCs/>
          <w:sz w:val="24"/>
          <w:szCs w:val="24"/>
        </w:rPr>
        <w:t xml:space="preserve">Para envíos, sin carácter comercial, entre particulares, por un valor no superior a 500 € y para productos en los equipajes personales de los viajeros por importe inferior a 1.200 €. </w:t>
      </w:r>
    </w:p>
    <w:p w:rsidR="00092EFF" w:rsidRDefault="00092EFF" w:rsidP="00092EFF">
      <w:pPr>
        <w:autoSpaceDE w:val="0"/>
        <w:autoSpaceDN w:val="0"/>
        <w:adjustRightInd w:val="0"/>
        <w:spacing w:after="60"/>
        <w:ind w:left="720"/>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jc w:val="both"/>
        <w:rPr>
          <w:rFonts w:ascii="Arial Narrow" w:hAnsi="Arial Narrow" w:cs="Arial"/>
          <w:b/>
          <w:bCs/>
          <w:sz w:val="24"/>
          <w:szCs w:val="24"/>
        </w:rPr>
      </w:pPr>
      <w:r>
        <w:rPr>
          <w:rFonts w:ascii="Arial Narrow" w:hAnsi="Arial Narrow" w:cs="Arial"/>
          <w:b/>
          <w:bCs/>
          <w:sz w:val="24"/>
          <w:szCs w:val="24"/>
        </w:rPr>
        <w:t>Verificación a posteriori</w:t>
      </w:r>
      <w:r>
        <w:rPr>
          <w:rFonts w:ascii="Arial Narrow" w:hAnsi="Arial Narrow" w:cs="Arial"/>
          <w:bCs/>
          <w:sz w:val="24"/>
          <w:szCs w:val="24"/>
        </w:rPr>
        <w:t xml:space="preserve"> de la prueba de origen:</w:t>
      </w:r>
    </w:p>
    <w:p w:rsidR="00092EFF" w:rsidRDefault="00092EFF" w:rsidP="00092EFF">
      <w:pPr>
        <w:autoSpaceDE w:val="0"/>
        <w:autoSpaceDN w:val="0"/>
        <w:adjustRightInd w:val="0"/>
        <w:spacing w:after="60"/>
        <w:ind w:left="720"/>
        <w:jc w:val="both"/>
        <w:rPr>
          <w:rFonts w:ascii="Arial Narrow" w:hAnsi="Arial Narrow" w:cs="Arial"/>
          <w:bCs/>
          <w:sz w:val="24"/>
          <w:szCs w:val="24"/>
        </w:rPr>
      </w:pPr>
      <w:r>
        <w:rPr>
          <w:rFonts w:ascii="Arial Narrow" w:hAnsi="Arial Narrow" w:cs="Arial"/>
          <w:bCs/>
          <w:sz w:val="24"/>
          <w:szCs w:val="24"/>
        </w:rPr>
        <w:t>Se establece el procedimiento habitual en el Art.33. Luego, pueden efectuarse por sondeo o por duda razonable, en este último caso la falta de respuesta o de una respuesta insuficiente en el plazo de 10 meses se procederá a denegar el beneficio a las preferencias de los productos amparados por la prueba de origen en cuestión, salvo en circunstancias excepcionales.</w:t>
      </w:r>
    </w:p>
    <w:p w:rsidR="00092EFF" w:rsidRDefault="00092EFF" w:rsidP="00092EFF">
      <w:pPr>
        <w:autoSpaceDE w:val="0"/>
        <w:autoSpaceDN w:val="0"/>
        <w:adjustRightInd w:val="0"/>
        <w:spacing w:after="60"/>
        <w:ind w:left="720"/>
        <w:jc w:val="both"/>
        <w:rPr>
          <w:rFonts w:ascii="Arial Narrow" w:hAnsi="Arial Narrow" w:cs="Arial"/>
          <w:bCs/>
          <w:sz w:val="24"/>
          <w:szCs w:val="24"/>
        </w:rPr>
      </w:pPr>
    </w:p>
    <w:p w:rsidR="00092EFF" w:rsidRDefault="00092EFF" w:rsidP="00092EFF">
      <w:pPr>
        <w:numPr>
          <w:ilvl w:val="0"/>
          <w:numId w:val="4"/>
        </w:numPr>
        <w:autoSpaceDE w:val="0"/>
        <w:autoSpaceDN w:val="0"/>
        <w:adjustRightInd w:val="0"/>
        <w:spacing w:after="60"/>
        <w:ind w:left="709"/>
        <w:jc w:val="both"/>
        <w:rPr>
          <w:rFonts w:ascii="Arial Narrow" w:hAnsi="Arial Narrow" w:cs="Arial"/>
          <w:b/>
          <w:bCs/>
          <w:sz w:val="24"/>
          <w:szCs w:val="24"/>
        </w:rPr>
      </w:pPr>
      <w:r>
        <w:rPr>
          <w:rFonts w:ascii="Arial Narrow" w:hAnsi="Arial Narrow" w:cs="Arial"/>
          <w:b/>
          <w:bCs/>
          <w:sz w:val="24"/>
          <w:szCs w:val="24"/>
        </w:rPr>
        <w:t xml:space="preserve">Disposiciones transitorias </w:t>
      </w:r>
      <w:r>
        <w:rPr>
          <w:rFonts w:ascii="Arial Narrow" w:hAnsi="Arial Narrow" w:cs="Arial"/>
          <w:bCs/>
          <w:sz w:val="24"/>
          <w:szCs w:val="24"/>
        </w:rPr>
        <w:t xml:space="preserve">para mercancías en tránsito o almacenamiento </w:t>
      </w:r>
    </w:p>
    <w:p w:rsidR="00092EFF" w:rsidRDefault="00092EFF" w:rsidP="00092EFF">
      <w:pPr>
        <w:autoSpaceDE w:val="0"/>
        <w:autoSpaceDN w:val="0"/>
        <w:adjustRightInd w:val="0"/>
        <w:spacing w:after="60"/>
        <w:ind w:left="709"/>
        <w:jc w:val="both"/>
        <w:rPr>
          <w:rFonts w:ascii="Arial Narrow" w:hAnsi="Arial Narrow" w:cs="Arial"/>
          <w:b/>
          <w:bCs/>
          <w:sz w:val="24"/>
          <w:szCs w:val="24"/>
        </w:rPr>
      </w:pPr>
      <w:r>
        <w:rPr>
          <w:rFonts w:ascii="Arial Narrow" w:hAnsi="Arial Narrow" w:cs="Arial"/>
          <w:bCs/>
          <w:sz w:val="24"/>
          <w:szCs w:val="24"/>
        </w:rPr>
        <w:t>No se ha recogido en el protocolo 1 de origen de este Acuerdo una disposición sobre el derecho a las preferencias para las mercancías que a la fecha de entrada en vigor del Acuerdo están en tránsito o</w:t>
      </w:r>
      <w:r>
        <w:rPr>
          <w:rFonts w:ascii="Arial Narrow" w:hAnsi="Arial Narrow" w:cs="Arial"/>
          <w:b/>
          <w:bCs/>
          <w:sz w:val="24"/>
          <w:szCs w:val="24"/>
        </w:rPr>
        <w:t xml:space="preserve"> </w:t>
      </w:r>
      <w:r>
        <w:rPr>
          <w:rFonts w:ascii="Arial Narrow" w:hAnsi="Arial Narrow" w:cs="Arial"/>
          <w:bCs/>
          <w:sz w:val="24"/>
          <w:szCs w:val="24"/>
        </w:rPr>
        <w:t>se encuentran en las Partes en almacenamiento temporal, en depósitos aduaneros o en zonas francas,</w:t>
      </w:r>
    </w:p>
    <w:p w:rsidR="0094167E" w:rsidRDefault="0094167E" w:rsidP="00B607E3">
      <w:pPr>
        <w:jc w:val="both"/>
        <w:rPr>
          <w:sz w:val="24"/>
          <w:szCs w:val="24"/>
        </w:rPr>
      </w:pPr>
    </w:p>
    <w:p w:rsidR="00B607E3" w:rsidRPr="00406A01" w:rsidRDefault="00B607E3" w:rsidP="00092EFF">
      <w:pPr>
        <w:pStyle w:val="Encabezado"/>
        <w:tabs>
          <w:tab w:val="left" w:pos="708"/>
        </w:tabs>
        <w:jc w:val="center"/>
        <w:rPr>
          <w:rFonts w:ascii="Arial Narrow" w:hAnsi="Arial Narrow" w:cs="Arial"/>
          <w:sz w:val="24"/>
          <w:szCs w:val="24"/>
        </w:rPr>
      </w:pPr>
      <w:r w:rsidRPr="00406A01">
        <w:rPr>
          <w:rFonts w:ascii="Arial Narrow" w:hAnsi="Arial Narrow" w:cs="Arial"/>
          <w:sz w:val="24"/>
          <w:szCs w:val="24"/>
        </w:rPr>
        <w:t xml:space="preserve">Madrid,  </w:t>
      </w:r>
      <w:r w:rsidR="0094167E">
        <w:rPr>
          <w:rFonts w:ascii="Arial Narrow" w:hAnsi="Arial Narrow" w:cs="Arial"/>
          <w:sz w:val="24"/>
          <w:szCs w:val="24"/>
        </w:rPr>
        <w:t>2</w:t>
      </w:r>
      <w:r w:rsidR="00092EFF">
        <w:rPr>
          <w:rFonts w:ascii="Arial Narrow" w:hAnsi="Arial Narrow" w:cs="Arial"/>
          <w:sz w:val="24"/>
          <w:szCs w:val="24"/>
        </w:rPr>
        <w:t>2</w:t>
      </w:r>
      <w:r w:rsidR="00406A01">
        <w:rPr>
          <w:rFonts w:ascii="Arial Narrow" w:hAnsi="Arial Narrow" w:cs="Arial"/>
          <w:sz w:val="24"/>
          <w:szCs w:val="24"/>
        </w:rPr>
        <w:t xml:space="preserve"> </w:t>
      </w:r>
      <w:r w:rsidRPr="00406A01">
        <w:rPr>
          <w:rFonts w:ascii="Arial Narrow" w:hAnsi="Arial Narrow" w:cs="Arial"/>
          <w:sz w:val="24"/>
          <w:szCs w:val="24"/>
        </w:rPr>
        <w:t xml:space="preserve"> de </w:t>
      </w:r>
      <w:r w:rsidR="00092EFF">
        <w:rPr>
          <w:rFonts w:ascii="Arial Narrow" w:hAnsi="Arial Narrow" w:cs="Arial"/>
          <w:sz w:val="24"/>
          <w:szCs w:val="24"/>
        </w:rPr>
        <w:t xml:space="preserve"> diciembre</w:t>
      </w:r>
      <w:r w:rsidRPr="00406A01">
        <w:rPr>
          <w:rFonts w:ascii="Arial Narrow" w:hAnsi="Arial Narrow" w:cs="Arial"/>
          <w:sz w:val="24"/>
          <w:szCs w:val="24"/>
        </w:rPr>
        <w:t xml:space="preserve">  de 2015</w:t>
      </w:r>
    </w:p>
    <w:p w:rsidR="00B607E3" w:rsidRDefault="00B607E3" w:rsidP="00B607E3">
      <w:pPr>
        <w:autoSpaceDE w:val="0"/>
        <w:autoSpaceDN w:val="0"/>
        <w:adjustRightInd w:val="0"/>
        <w:spacing w:after="60"/>
        <w:jc w:val="center"/>
        <w:rPr>
          <w:rFonts w:ascii="Arial Narrow" w:hAnsi="Arial Narrow" w:cs="Arial"/>
          <w:bCs/>
          <w:i/>
          <w:iCs/>
          <w:sz w:val="24"/>
          <w:szCs w:val="24"/>
        </w:rPr>
      </w:pPr>
    </w:p>
    <w:p w:rsidR="00092EFF" w:rsidRPr="00406A01" w:rsidRDefault="00585EFE" w:rsidP="00B607E3">
      <w:pPr>
        <w:autoSpaceDE w:val="0"/>
        <w:autoSpaceDN w:val="0"/>
        <w:adjustRightInd w:val="0"/>
        <w:spacing w:after="60"/>
        <w:jc w:val="center"/>
        <w:rPr>
          <w:rFonts w:ascii="Arial Narrow" w:hAnsi="Arial Narrow" w:cs="Arial"/>
          <w:bCs/>
          <w:i/>
          <w:iCs/>
          <w:sz w:val="24"/>
          <w:szCs w:val="24"/>
        </w:rPr>
      </w:pPr>
      <w:r>
        <w:rPr>
          <w:rFonts w:ascii="Arial Narrow" w:hAnsi="Arial Narrow" w:cs="Arial"/>
          <w:bCs/>
          <w:i/>
          <w:iCs/>
          <w:noProof/>
          <w:sz w:val="24"/>
          <w:szCs w:val="24"/>
          <w:lang w:eastAsia="es-ES"/>
        </w:rPr>
        <w:drawing>
          <wp:inline distT="0" distB="0" distL="0" distR="0">
            <wp:extent cx="2838450" cy="178639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844013" cy="1789897"/>
                    </a:xfrm>
                    <a:prstGeom prst="rect">
                      <a:avLst/>
                    </a:prstGeom>
                    <a:noFill/>
                    <a:ln w="9525">
                      <a:noFill/>
                      <a:miter lim="800000"/>
                      <a:headEnd/>
                      <a:tailEnd/>
                    </a:ln>
                  </pic:spPr>
                </pic:pic>
              </a:graphicData>
            </a:graphic>
          </wp:inline>
        </w:drawing>
      </w:r>
    </w:p>
    <w:sectPr w:rsidR="00092EFF" w:rsidRPr="00406A01" w:rsidSect="00B21700">
      <w:headerReference w:type="even" r:id="rId16"/>
      <w:headerReference w:type="default" r:id="rId17"/>
      <w:footerReference w:type="even" r:id="rId18"/>
      <w:footerReference w:type="default" r:id="rId19"/>
      <w:headerReference w:type="first" r:id="rId20"/>
      <w:footerReference w:type="first" r:id="rId21"/>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7E" w:rsidRDefault="0094167E" w:rsidP="00A427FB">
      <w:pPr>
        <w:spacing w:after="0" w:line="240" w:lineRule="auto"/>
      </w:pPr>
      <w:r>
        <w:separator/>
      </w:r>
    </w:p>
  </w:endnote>
  <w:endnote w:type="continuationSeparator" w:id="0">
    <w:p w:rsidR="0094167E" w:rsidRDefault="0094167E" w:rsidP="00A42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FF" w:rsidRDefault="00092E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E" w:rsidRPr="00FF51BA" w:rsidRDefault="004824AC" w:rsidP="00A9329B">
    <w:pPr>
      <w:pStyle w:val="Piedepgina"/>
      <w:spacing w:after="60"/>
      <w:rPr>
        <w:rFonts w:ascii="Arial Narrow" w:hAnsi="Arial Narrow"/>
        <w:color w:val="808080"/>
        <w:sz w:val="20"/>
        <w:szCs w:val="20"/>
      </w:rPr>
    </w:pPr>
    <w:r w:rsidRPr="004824AC">
      <w:rPr>
        <w:rFonts w:ascii="Arial Narrow" w:hAnsi="Arial Narrow"/>
        <w:i/>
        <w:color w:val="808080"/>
        <w:sz w:val="20"/>
        <w:szCs w:val="20"/>
      </w:rPr>
      <w:pict>
        <v:rect id="_x0000_i1027" style="width:0;height:1.5pt" o:hralign="center" o:hrstd="t" o:hr="t" fillcolor="#a0a0a0" stroked="f"/>
      </w:pict>
    </w:r>
  </w:p>
  <w:p w:rsidR="0094167E" w:rsidRPr="00FF51BA" w:rsidRDefault="0094167E" w:rsidP="00A9329B">
    <w:pPr>
      <w:pStyle w:val="Piedepgina"/>
      <w:spacing w:after="60"/>
      <w:jc w:val="both"/>
      <w:rPr>
        <w:rFonts w:ascii="Arial Narrow" w:hAnsi="Arial Narrow" w:cs="Arial"/>
        <w:bCs/>
        <w:i/>
        <w:color w:val="808080"/>
        <w:sz w:val="20"/>
        <w:szCs w:val="20"/>
        <w:lang w:eastAsia="es-ES"/>
      </w:rPr>
    </w:pPr>
    <w:r>
      <w:rPr>
        <w:rFonts w:ascii="Arial Narrow" w:hAnsi="Arial Narrow" w:cs="Arial"/>
        <w:bCs/>
        <w:i/>
        <w:color w:val="808080"/>
        <w:sz w:val="20"/>
        <w:szCs w:val="20"/>
        <w:lang w:eastAsia="es-ES"/>
      </w:rPr>
      <w:t xml:space="preserve">NI GA </w:t>
    </w:r>
    <w:r w:rsidRPr="00FF51BA">
      <w:rPr>
        <w:rFonts w:ascii="Arial Narrow" w:hAnsi="Arial Narrow" w:cs="Arial"/>
        <w:bCs/>
        <w:i/>
        <w:color w:val="808080"/>
        <w:sz w:val="20"/>
        <w:szCs w:val="20"/>
        <w:lang w:eastAsia="es-ES"/>
      </w:rPr>
      <w:t xml:space="preserve"> </w:t>
    </w:r>
    <w:r w:rsidR="00092EFF">
      <w:rPr>
        <w:rFonts w:ascii="Arial Narrow" w:hAnsi="Arial Narrow" w:cs="Arial"/>
        <w:bCs/>
        <w:i/>
        <w:color w:val="808080"/>
        <w:sz w:val="20"/>
        <w:szCs w:val="20"/>
        <w:lang w:eastAsia="es-ES"/>
      </w:rPr>
      <w:t>10</w:t>
    </w:r>
    <w:r w:rsidRPr="00FF51BA">
      <w:rPr>
        <w:rFonts w:ascii="Arial Narrow" w:hAnsi="Arial Narrow" w:cs="Arial"/>
        <w:bCs/>
        <w:i/>
        <w:color w:val="808080"/>
        <w:sz w:val="20"/>
        <w:szCs w:val="20"/>
        <w:lang w:eastAsia="es-ES"/>
      </w:rPr>
      <w:t>/</w:t>
    </w:r>
    <w:r>
      <w:rPr>
        <w:rFonts w:ascii="Arial Narrow" w:hAnsi="Arial Narrow" w:cs="Arial"/>
        <w:bCs/>
        <w:i/>
        <w:color w:val="808080"/>
        <w:sz w:val="20"/>
        <w:szCs w:val="20"/>
        <w:lang w:eastAsia="es-ES"/>
      </w:rPr>
      <w:t>2015</w:t>
    </w:r>
    <w:r w:rsidRPr="00FF51BA">
      <w:rPr>
        <w:rFonts w:ascii="Arial Narrow" w:hAnsi="Arial Narrow" w:cs="Arial"/>
        <w:bCs/>
        <w:i/>
        <w:color w:val="808080"/>
        <w:sz w:val="20"/>
        <w:szCs w:val="20"/>
        <w:lang w:eastAsia="es-ES"/>
      </w:rPr>
      <w:t xml:space="preserve">, de </w:t>
    </w:r>
    <w:r>
      <w:rPr>
        <w:rFonts w:ascii="Arial Narrow" w:hAnsi="Arial Narrow" w:cs="Arial"/>
        <w:bCs/>
        <w:i/>
        <w:color w:val="808080"/>
        <w:sz w:val="20"/>
        <w:szCs w:val="20"/>
        <w:lang w:eastAsia="es-ES"/>
      </w:rPr>
      <w:t>2</w:t>
    </w:r>
    <w:r w:rsidR="00092EFF">
      <w:rPr>
        <w:rFonts w:ascii="Arial Narrow" w:hAnsi="Arial Narrow" w:cs="Arial"/>
        <w:bCs/>
        <w:i/>
        <w:color w:val="808080"/>
        <w:sz w:val="20"/>
        <w:szCs w:val="20"/>
        <w:lang w:eastAsia="es-ES"/>
      </w:rPr>
      <w:t>2</w:t>
    </w:r>
    <w:r w:rsidRPr="00FF51BA">
      <w:rPr>
        <w:rFonts w:ascii="Arial Narrow" w:hAnsi="Arial Narrow" w:cs="Arial"/>
        <w:bCs/>
        <w:i/>
        <w:color w:val="808080"/>
        <w:sz w:val="20"/>
        <w:szCs w:val="20"/>
        <w:lang w:eastAsia="es-ES"/>
      </w:rPr>
      <w:t xml:space="preserve"> de </w:t>
    </w:r>
    <w:r w:rsidR="00092EFF">
      <w:rPr>
        <w:rFonts w:ascii="Arial Narrow" w:hAnsi="Arial Narrow" w:cs="Arial"/>
        <w:bCs/>
        <w:i/>
        <w:color w:val="808080"/>
        <w:sz w:val="20"/>
        <w:szCs w:val="20"/>
        <w:lang w:eastAsia="es-ES"/>
      </w:rPr>
      <w:t>diciembre relativa l Acuerdo UE/ Ucrania</w:t>
    </w:r>
  </w:p>
  <w:p w:rsidR="0094167E" w:rsidRPr="00A9329B" w:rsidRDefault="004824AC" w:rsidP="00092F66">
    <w:pPr>
      <w:pStyle w:val="Piedepgina"/>
      <w:spacing w:after="60"/>
      <w:jc w:val="center"/>
    </w:pPr>
    <w:r w:rsidRPr="00A9329B">
      <w:rPr>
        <w:rFonts w:ascii="Arial Narrow" w:hAnsi="Arial Narrow" w:cs="Arial"/>
        <w:bCs/>
        <w:color w:val="808080"/>
        <w:sz w:val="20"/>
        <w:szCs w:val="20"/>
        <w:lang w:eastAsia="es-ES"/>
      </w:rPr>
      <w:fldChar w:fldCharType="begin"/>
    </w:r>
    <w:r w:rsidR="0094167E" w:rsidRPr="00A9329B">
      <w:rPr>
        <w:rFonts w:ascii="Arial Narrow" w:hAnsi="Arial Narrow" w:cs="Arial"/>
        <w:bCs/>
        <w:color w:val="808080"/>
        <w:sz w:val="20"/>
        <w:szCs w:val="20"/>
        <w:lang w:eastAsia="es-ES"/>
      </w:rPr>
      <w:instrText xml:space="preserve"> PAGE   \* MERGEFORMAT </w:instrText>
    </w:r>
    <w:r w:rsidRPr="00A9329B">
      <w:rPr>
        <w:rFonts w:ascii="Arial Narrow" w:hAnsi="Arial Narrow" w:cs="Arial"/>
        <w:bCs/>
        <w:color w:val="808080"/>
        <w:sz w:val="20"/>
        <w:szCs w:val="20"/>
        <w:lang w:eastAsia="es-ES"/>
      </w:rPr>
      <w:fldChar w:fldCharType="separate"/>
    </w:r>
    <w:r w:rsidR="00585EFE">
      <w:rPr>
        <w:rFonts w:ascii="Arial Narrow" w:hAnsi="Arial Narrow" w:cs="Arial"/>
        <w:bCs/>
        <w:noProof/>
        <w:color w:val="808080"/>
        <w:sz w:val="20"/>
        <w:szCs w:val="20"/>
        <w:lang w:eastAsia="es-ES"/>
      </w:rPr>
      <w:t>3</w:t>
    </w:r>
    <w:r w:rsidRPr="00A9329B">
      <w:rPr>
        <w:rFonts w:ascii="Arial Narrow" w:hAnsi="Arial Narrow" w:cs="Arial"/>
        <w:bCs/>
        <w:color w:val="808080"/>
        <w:sz w:val="20"/>
        <w:szCs w:val="20"/>
        <w:lang w:eastAsia="es-E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FF" w:rsidRDefault="00092E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7E" w:rsidRDefault="0094167E" w:rsidP="00A427FB">
      <w:pPr>
        <w:spacing w:after="0" w:line="240" w:lineRule="auto"/>
      </w:pPr>
      <w:r>
        <w:separator/>
      </w:r>
    </w:p>
  </w:footnote>
  <w:footnote w:type="continuationSeparator" w:id="0">
    <w:p w:rsidR="0094167E" w:rsidRDefault="0094167E" w:rsidP="00A42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FF" w:rsidRDefault="00092E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E" w:rsidRPr="000536BF" w:rsidRDefault="004824AC" w:rsidP="00A9329B">
    <w:pPr>
      <w:pStyle w:val="Encabezado"/>
      <w:tabs>
        <w:tab w:val="left" w:pos="6480"/>
      </w:tabs>
      <w:rPr>
        <w:sz w:val="16"/>
        <w:szCs w:val="16"/>
      </w:rPr>
    </w:pPr>
    <w:r>
      <w:rPr>
        <w:noProof/>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6pt;margin-top:-4.65pt;width:39.6pt;height:30.95pt;z-index:251657728;visibility:visible;mso-wrap-edited:f">
          <v:imagedata r:id="rId1" o:title=""/>
          <w10:wrap type="topAndBottom"/>
        </v:shape>
        <o:OLEObject Type="Embed" ProgID="Word.Picture.8" ShapeID="_x0000_s2049" DrawAspect="Content" ObjectID="_1512293964" r:id="rId2"/>
      </w:pict>
    </w:r>
  </w:p>
  <w:p w:rsidR="0094167E" w:rsidRPr="00EB60BA" w:rsidRDefault="0094167E" w:rsidP="00A9329B">
    <w:pPr>
      <w:pStyle w:val="Encabezado"/>
      <w:spacing w:line="360" w:lineRule="auto"/>
      <w:rPr>
        <w:color w:val="808080"/>
        <w:sz w:val="16"/>
        <w:szCs w:val="16"/>
      </w:rPr>
    </w:pPr>
  </w:p>
  <w:p w:rsidR="0094167E" w:rsidRPr="00592C31" w:rsidRDefault="0094167E" w:rsidP="00A9329B">
    <w:pPr>
      <w:pStyle w:val="Encabezado"/>
      <w:tabs>
        <w:tab w:val="clear" w:pos="4252"/>
        <w:tab w:val="clear" w:pos="8504"/>
      </w:tabs>
      <w:ind w:right="5679"/>
      <w:jc w:val="center"/>
      <w:rPr>
        <w:rFonts w:ascii="Arial Narrow" w:hAnsi="Arial Narrow"/>
        <w:color w:val="808080"/>
        <w:position w:val="-6"/>
        <w:sz w:val="24"/>
        <w:szCs w:val="24"/>
      </w:rPr>
    </w:pPr>
    <w:r w:rsidRPr="00592C31">
      <w:rPr>
        <w:rFonts w:ascii="Arial Narrow" w:hAnsi="Arial Narrow"/>
        <w:color w:val="808080"/>
        <w:position w:val="-6"/>
        <w:sz w:val="24"/>
        <w:szCs w:val="24"/>
      </w:rPr>
      <w:t>Agencia Tributaria</w:t>
    </w:r>
  </w:p>
  <w:p w:rsidR="0094167E" w:rsidRPr="00EB60BA" w:rsidRDefault="0094167E" w:rsidP="00A9329B">
    <w:pPr>
      <w:pStyle w:val="Encabezado"/>
      <w:jc w:val="right"/>
      <w:rPr>
        <w:rFonts w:ascii="Arial Narrow" w:hAnsi="Arial Narrow"/>
        <w:i/>
        <w:color w:val="808080"/>
        <w:sz w:val="24"/>
        <w:szCs w:val="24"/>
      </w:rPr>
    </w:pPr>
    <w:r w:rsidRPr="00EB60BA">
      <w:rPr>
        <w:rFonts w:ascii="Arial Narrow" w:hAnsi="Arial Narrow"/>
        <w:i/>
        <w:color w:val="808080"/>
        <w:sz w:val="24"/>
        <w:szCs w:val="24"/>
      </w:rPr>
      <w:t>Departamento de Aduanas e Impuestos Especiales</w:t>
    </w:r>
  </w:p>
  <w:p w:rsidR="0094167E" w:rsidRPr="00EB60BA" w:rsidRDefault="004824AC" w:rsidP="00A9329B">
    <w:pPr>
      <w:pStyle w:val="Encabezado"/>
      <w:jc w:val="right"/>
      <w:rPr>
        <w:rFonts w:ascii="Arial Narrow" w:hAnsi="Arial Narrow"/>
        <w:i/>
        <w:color w:val="808080"/>
        <w:sz w:val="24"/>
        <w:szCs w:val="24"/>
      </w:rPr>
    </w:pPr>
    <w:r w:rsidRPr="004824AC">
      <w:rPr>
        <w:rFonts w:ascii="Arial Narrow" w:hAnsi="Arial Narrow"/>
        <w:i/>
        <w:color w:val="808080"/>
        <w:sz w:val="24"/>
        <w:szCs w:val="24"/>
      </w:rPr>
      <w:pict>
        <v:rect id="_x0000_i1026" style="width:0;height:1.5pt" o:hralign="center" o:hrstd="t" o:hr="t" fillcolor="#a0a0a0" stroked="f"/>
      </w:pict>
    </w:r>
  </w:p>
  <w:p w:rsidR="0094167E" w:rsidRPr="00EB60BA" w:rsidRDefault="0094167E" w:rsidP="00A9329B">
    <w:pPr>
      <w:pStyle w:val="Encabezado"/>
      <w:jc w:val="right"/>
      <w:rPr>
        <w:rFonts w:ascii="Arial Narrow" w:hAnsi="Arial Narrow"/>
        <w:i/>
        <w:color w:val="808080"/>
        <w:sz w:val="24"/>
        <w:szCs w:val="24"/>
      </w:rPr>
    </w:pPr>
  </w:p>
  <w:p w:rsidR="0094167E" w:rsidRDefault="0094167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FF" w:rsidRDefault="00092E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ACE"/>
    <w:multiLevelType w:val="hybridMultilevel"/>
    <w:tmpl w:val="B0227678"/>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EBF4535"/>
    <w:multiLevelType w:val="hybridMultilevel"/>
    <w:tmpl w:val="9B3A7146"/>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49B1524"/>
    <w:multiLevelType w:val="hybridMultilevel"/>
    <w:tmpl w:val="7E086D5A"/>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EC0EBF"/>
    <w:multiLevelType w:val="hybridMultilevel"/>
    <w:tmpl w:val="9B8E3E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44F22D23"/>
    <w:multiLevelType w:val="hybridMultilevel"/>
    <w:tmpl w:val="5302FFA0"/>
    <w:lvl w:ilvl="0" w:tplc="529244CA">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5">
    <w:nsid w:val="5A995E03"/>
    <w:multiLevelType w:val="hybridMultilevel"/>
    <w:tmpl w:val="D5166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9313E4E"/>
    <w:multiLevelType w:val="hybridMultilevel"/>
    <w:tmpl w:val="031808CE"/>
    <w:lvl w:ilvl="0" w:tplc="11F2B38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0D490D"/>
    <w:multiLevelType w:val="hybridMultilevel"/>
    <w:tmpl w:val="7FA2E932"/>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4275D"/>
    <w:rsid w:val="00063275"/>
    <w:rsid w:val="00092EFF"/>
    <w:rsid w:val="00092F66"/>
    <w:rsid w:val="000F67ED"/>
    <w:rsid w:val="00101D07"/>
    <w:rsid w:val="00164671"/>
    <w:rsid w:val="001A1A5D"/>
    <w:rsid w:val="001A7160"/>
    <w:rsid w:val="001F22D9"/>
    <w:rsid w:val="00205F00"/>
    <w:rsid w:val="00236169"/>
    <w:rsid w:val="00284BE4"/>
    <w:rsid w:val="002B0FD9"/>
    <w:rsid w:val="002F0A12"/>
    <w:rsid w:val="002F320D"/>
    <w:rsid w:val="0031183F"/>
    <w:rsid w:val="00366E2D"/>
    <w:rsid w:val="00387756"/>
    <w:rsid w:val="00406A01"/>
    <w:rsid w:val="004627C8"/>
    <w:rsid w:val="004824AC"/>
    <w:rsid w:val="00484890"/>
    <w:rsid w:val="004D0223"/>
    <w:rsid w:val="004F4134"/>
    <w:rsid w:val="005046AB"/>
    <w:rsid w:val="00554454"/>
    <w:rsid w:val="00560F52"/>
    <w:rsid w:val="00585EFE"/>
    <w:rsid w:val="00625F32"/>
    <w:rsid w:val="00633699"/>
    <w:rsid w:val="00686EC2"/>
    <w:rsid w:val="00694AA5"/>
    <w:rsid w:val="006F7750"/>
    <w:rsid w:val="00742886"/>
    <w:rsid w:val="0078527B"/>
    <w:rsid w:val="008976CF"/>
    <w:rsid w:val="008F019A"/>
    <w:rsid w:val="009310BD"/>
    <w:rsid w:val="0094167E"/>
    <w:rsid w:val="00966B15"/>
    <w:rsid w:val="009758DE"/>
    <w:rsid w:val="009A44EA"/>
    <w:rsid w:val="00A159E5"/>
    <w:rsid w:val="00A427FB"/>
    <w:rsid w:val="00A9329B"/>
    <w:rsid w:val="00AC47E7"/>
    <w:rsid w:val="00B13E7A"/>
    <w:rsid w:val="00B21700"/>
    <w:rsid w:val="00B40DCA"/>
    <w:rsid w:val="00B607E3"/>
    <w:rsid w:val="00B935D3"/>
    <w:rsid w:val="00BB1073"/>
    <w:rsid w:val="00BB49D8"/>
    <w:rsid w:val="00BB5BB1"/>
    <w:rsid w:val="00BF6B86"/>
    <w:rsid w:val="00C03A9E"/>
    <w:rsid w:val="00C4275D"/>
    <w:rsid w:val="00C54185"/>
    <w:rsid w:val="00CD6BBB"/>
    <w:rsid w:val="00CE2F4A"/>
    <w:rsid w:val="00D055BF"/>
    <w:rsid w:val="00D55D81"/>
    <w:rsid w:val="00DC2BA4"/>
    <w:rsid w:val="00DD4559"/>
    <w:rsid w:val="00DF72AA"/>
    <w:rsid w:val="00E24D84"/>
    <w:rsid w:val="00E42E1C"/>
    <w:rsid w:val="00E44EF4"/>
    <w:rsid w:val="00E61073"/>
    <w:rsid w:val="00E615CD"/>
    <w:rsid w:val="00EB23F0"/>
    <w:rsid w:val="00ED055A"/>
    <w:rsid w:val="00EF42D5"/>
    <w:rsid w:val="00EF49C9"/>
    <w:rsid w:val="00FD2102"/>
    <w:rsid w:val="00FF51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FB"/>
    <w:pPr>
      <w:spacing w:after="200" w:line="276" w:lineRule="auto"/>
    </w:pPr>
    <w:rPr>
      <w:sz w:val="22"/>
      <w:szCs w:val="22"/>
      <w:lang w:eastAsia="en-US"/>
    </w:rPr>
  </w:style>
  <w:style w:type="paragraph" w:styleId="Ttulo2">
    <w:name w:val="heading 2"/>
    <w:basedOn w:val="Normal"/>
    <w:next w:val="Normal"/>
    <w:link w:val="Ttulo2Car"/>
    <w:uiPriority w:val="99"/>
    <w:qFormat/>
    <w:rsid w:val="00A427FB"/>
    <w:pPr>
      <w:autoSpaceDE w:val="0"/>
      <w:autoSpaceDN w:val="0"/>
      <w:adjustRightInd w:val="0"/>
      <w:spacing w:after="0" w:line="240" w:lineRule="auto"/>
      <w:outlineLvl w:val="1"/>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A427FB"/>
    <w:rPr>
      <w:rFonts w:ascii="Arial" w:eastAsia="Calibri" w:hAnsi="Arial" w:cs="Arial"/>
      <w:sz w:val="24"/>
      <w:szCs w:val="24"/>
    </w:rPr>
  </w:style>
  <w:style w:type="paragraph" w:styleId="Prrafodelista">
    <w:name w:val="List Paragraph"/>
    <w:basedOn w:val="Normal"/>
    <w:uiPriority w:val="34"/>
    <w:qFormat/>
    <w:rsid w:val="00A427FB"/>
    <w:pPr>
      <w:ind w:left="720"/>
      <w:contextualSpacing/>
    </w:pPr>
  </w:style>
  <w:style w:type="paragraph" w:customStyle="1" w:styleId="Default">
    <w:name w:val="Default"/>
    <w:rsid w:val="00A427FB"/>
    <w:pPr>
      <w:autoSpaceDE w:val="0"/>
      <w:autoSpaceDN w:val="0"/>
      <w:adjustRightInd w:val="0"/>
    </w:pPr>
    <w:rPr>
      <w:rFonts w:ascii="Arial" w:hAnsi="Arial" w:cs="Arial"/>
      <w:color w:val="000000"/>
      <w:sz w:val="24"/>
      <w:szCs w:val="24"/>
      <w:lang w:eastAsia="en-US"/>
    </w:rPr>
  </w:style>
  <w:style w:type="paragraph" w:styleId="Citadestacada">
    <w:name w:val="Intense Quote"/>
    <w:basedOn w:val="Normal"/>
    <w:next w:val="Normal"/>
    <w:link w:val="CitadestacadaCar"/>
    <w:uiPriority w:val="30"/>
    <w:qFormat/>
    <w:rsid w:val="00A427F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427FB"/>
    <w:rPr>
      <w:rFonts w:ascii="Calibri" w:eastAsia="Calibri" w:hAnsi="Calibri" w:cs="Times New Roman"/>
      <w:b/>
      <w:bCs/>
      <w:i/>
      <w:iCs/>
      <w:color w:val="4F81BD"/>
    </w:rPr>
  </w:style>
  <w:style w:type="paragraph" w:styleId="Piedepgina">
    <w:name w:val="footer"/>
    <w:basedOn w:val="Normal"/>
    <w:link w:val="PiedepginaCar"/>
    <w:uiPriority w:val="99"/>
    <w:unhideWhenUsed/>
    <w:rsid w:val="00A427FB"/>
    <w:pPr>
      <w:tabs>
        <w:tab w:val="center" w:pos="4252"/>
        <w:tab w:val="right" w:pos="8504"/>
      </w:tabs>
    </w:pPr>
  </w:style>
  <w:style w:type="character" w:customStyle="1" w:styleId="PiedepginaCar">
    <w:name w:val="Pie de página Car"/>
    <w:basedOn w:val="Fuentedeprrafopredeter"/>
    <w:link w:val="Piedepgina"/>
    <w:uiPriority w:val="99"/>
    <w:rsid w:val="00A427FB"/>
    <w:rPr>
      <w:rFonts w:ascii="Calibri" w:eastAsia="Calibri" w:hAnsi="Calibri" w:cs="Times New Roman"/>
    </w:rPr>
  </w:style>
  <w:style w:type="paragraph" w:styleId="Textonotapie">
    <w:name w:val="footnote text"/>
    <w:basedOn w:val="Normal"/>
    <w:link w:val="TextonotapieCar"/>
    <w:semiHidden/>
    <w:rsid w:val="00A427FB"/>
    <w:pPr>
      <w:spacing w:after="240" w:line="240" w:lineRule="auto"/>
      <w:ind w:left="357" w:hanging="357"/>
      <w:jc w:val="both"/>
    </w:pPr>
    <w:rPr>
      <w:rFonts w:ascii="Times New Roman" w:eastAsia="Times New Roman" w:hAnsi="Times New Roman"/>
      <w:sz w:val="20"/>
      <w:szCs w:val="20"/>
      <w:lang w:val="en-GB"/>
    </w:rPr>
  </w:style>
  <w:style w:type="character" w:customStyle="1" w:styleId="TextonotapieCar">
    <w:name w:val="Texto nota pie Car"/>
    <w:basedOn w:val="Fuentedeprrafopredeter"/>
    <w:link w:val="Textonotapie"/>
    <w:semiHidden/>
    <w:rsid w:val="00A427FB"/>
    <w:rPr>
      <w:rFonts w:ascii="Times New Roman" w:eastAsia="Times New Roman" w:hAnsi="Times New Roman" w:cs="Times New Roman"/>
      <w:sz w:val="20"/>
      <w:szCs w:val="20"/>
      <w:lang w:val="en-GB"/>
    </w:rPr>
  </w:style>
  <w:style w:type="character" w:styleId="Refdenotaalpie">
    <w:name w:val="footnote reference"/>
    <w:basedOn w:val="Fuentedeprrafopredeter"/>
    <w:semiHidden/>
    <w:rsid w:val="00A427FB"/>
    <w:rPr>
      <w:vertAlign w:val="superscript"/>
    </w:rPr>
  </w:style>
  <w:style w:type="paragraph" w:styleId="Encabezado">
    <w:name w:val="header"/>
    <w:basedOn w:val="Normal"/>
    <w:link w:val="EncabezadoCar"/>
    <w:unhideWhenUsed/>
    <w:rsid w:val="00A9329B"/>
    <w:pPr>
      <w:tabs>
        <w:tab w:val="center" w:pos="4252"/>
        <w:tab w:val="right" w:pos="8504"/>
      </w:tabs>
      <w:spacing w:after="0" w:line="240" w:lineRule="auto"/>
    </w:pPr>
  </w:style>
  <w:style w:type="character" w:customStyle="1" w:styleId="EncabezadoCar">
    <w:name w:val="Encabezado Car"/>
    <w:basedOn w:val="Fuentedeprrafopredeter"/>
    <w:link w:val="Encabezado"/>
    <w:rsid w:val="00A9329B"/>
    <w:rPr>
      <w:rFonts w:ascii="Calibri" w:eastAsia="Calibri" w:hAnsi="Calibri" w:cs="Times New Roman"/>
    </w:rPr>
  </w:style>
  <w:style w:type="paragraph" w:styleId="Textodeglobo">
    <w:name w:val="Balloon Text"/>
    <w:basedOn w:val="Normal"/>
    <w:link w:val="TextodegloboCar"/>
    <w:uiPriority w:val="99"/>
    <w:semiHidden/>
    <w:unhideWhenUsed/>
    <w:rsid w:val="00DC2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BA4"/>
    <w:rPr>
      <w:rFonts w:ascii="Tahoma" w:eastAsia="Calibri" w:hAnsi="Tahoma" w:cs="Tahoma"/>
      <w:sz w:val="16"/>
      <w:szCs w:val="16"/>
    </w:rPr>
  </w:style>
  <w:style w:type="paragraph" w:styleId="Textoindependiente">
    <w:name w:val="Body Text"/>
    <w:basedOn w:val="Normal"/>
    <w:link w:val="TextoindependienteCar"/>
    <w:semiHidden/>
    <w:rsid w:val="00B607E3"/>
    <w:pPr>
      <w:widowControl w:val="0"/>
      <w:spacing w:after="0" w:line="240" w:lineRule="auto"/>
      <w:jc w:val="both"/>
    </w:pPr>
    <w:rPr>
      <w:rFonts w:ascii="Arial" w:eastAsia="Times New Roman" w:hAnsi="Arial"/>
      <w:snapToGrid w:val="0"/>
      <w:sz w:val="24"/>
      <w:szCs w:val="20"/>
      <w:lang w:val="es-ES_tradnl" w:eastAsia="es-ES"/>
    </w:rPr>
  </w:style>
  <w:style w:type="character" w:customStyle="1" w:styleId="TextoindependienteCar">
    <w:name w:val="Texto independiente Car"/>
    <w:basedOn w:val="Fuentedeprrafopredeter"/>
    <w:link w:val="Textoindependiente"/>
    <w:semiHidden/>
    <w:rsid w:val="00B607E3"/>
    <w:rPr>
      <w:rFonts w:ascii="Arial" w:eastAsia="Times New Roman" w:hAnsi="Arial"/>
      <w:snapToGrid w:val="0"/>
      <w:sz w:val="24"/>
      <w:lang w:val="es-ES_tradnl"/>
    </w:rPr>
  </w:style>
  <w:style w:type="character" w:styleId="Hipervnculo">
    <w:name w:val="Hyperlink"/>
    <w:basedOn w:val="Fuentedeprrafopredeter"/>
    <w:uiPriority w:val="99"/>
    <w:semiHidden/>
    <w:unhideWhenUsed/>
    <w:rsid w:val="00092EFF"/>
    <w:rPr>
      <w:color w:val="0000FF"/>
      <w:u w:val="single"/>
    </w:rPr>
  </w:style>
</w:styles>
</file>

<file path=word/webSettings.xml><?xml version="1.0" encoding="utf-8"?>
<w:webSettings xmlns:r="http://schemas.openxmlformats.org/officeDocument/2006/relationships" xmlns:w="http://schemas.openxmlformats.org/wordprocessingml/2006/main">
  <w:divs>
    <w:div w:id="367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4D0668&amp;from=ES" TargetMode="External"/><Relationship Id="rId13" Type="http://schemas.openxmlformats.org/officeDocument/2006/relationships/hyperlink" Target="http://eur-lex.europa.eu/legal-content/ES/TXT/?uri=uriserv:OJ.L_.2015.321.01.0001.01.SPA&amp;toc=OJ:L:2015:321:T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gal-content/ES/TXT/?uri=OJ:L:2015:321:T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S/TXT/PDF/?uri=CELEX:22014A0529(01)&amp;from=ES"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eur-lex.europa.eu/legal-content/ES/TXT/?uri=uriserv:OJ.L_.2014.161.01.0003.01.SP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gal-content/ES/TXT/?uri=OJ:L:2014:278:TOC" TargetMode="External"/><Relationship Id="rId14" Type="http://schemas.openxmlformats.org/officeDocument/2006/relationships/hyperlink" Target="http://eur-lex.europa.eu/legal-content/ES/TXT/PDF/?uri=CELEX:22015X1205(01)&amp;from=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505dp\AppData\Local\Temp\notesA4C761\NOTA%20INFORMATIVA%20NI%20GA%20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14E9-A02B-4CF4-8049-9F8ACC8B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INFORMATIVA NI GA XXX</Template>
  <TotalTime>3</TotalTime>
  <Pages>3</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Agencia Estatal de Administración Tributaria</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a00505dp</dc:creator>
  <cp:lastModifiedBy>a005016i</cp:lastModifiedBy>
  <cp:revision>3</cp:revision>
  <cp:lastPrinted>2015-10-28T09:33:00Z</cp:lastPrinted>
  <dcterms:created xsi:type="dcterms:W3CDTF">2015-12-22T10:54:00Z</dcterms:created>
  <dcterms:modified xsi:type="dcterms:W3CDTF">2015-12-22T11:53:00Z</dcterms:modified>
</cp:coreProperties>
</file>